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2D2" w:rsidRPr="00CB4CB7" w:rsidRDefault="008A2EC9" w:rsidP="00CB4CB7">
      <w:pPr>
        <w:jc w:val="both"/>
        <w:rPr>
          <w:b/>
          <w:sz w:val="28"/>
          <w:szCs w:val="28"/>
        </w:rPr>
      </w:pPr>
      <w:r w:rsidRPr="00CB4CB7">
        <w:rPr>
          <w:b/>
          <w:sz w:val="28"/>
          <w:szCs w:val="28"/>
        </w:rPr>
        <w:t>H</w:t>
      </w:r>
      <w:r w:rsidR="00D502D2" w:rsidRPr="00CB4CB7">
        <w:rPr>
          <w:b/>
          <w:sz w:val="28"/>
          <w:szCs w:val="28"/>
        </w:rPr>
        <w:t>ỘI ĐỒNG NHÂN DÂN</w:t>
      </w:r>
      <w:r w:rsidR="00CB4CB7">
        <w:rPr>
          <w:b/>
          <w:sz w:val="28"/>
          <w:szCs w:val="28"/>
        </w:rPr>
        <w:t xml:space="preserve">    </w:t>
      </w:r>
      <w:r w:rsidR="00D502D2" w:rsidRPr="00CB4CB7">
        <w:rPr>
          <w:b/>
          <w:sz w:val="28"/>
          <w:szCs w:val="28"/>
        </w:rPr>
        <w:t>CỘNG HOÀ XÃ HỘI CHỦ NGHĨA VIỆT NAM</w:t>
      </w:r>
    </w:p>
    <w:p w:rsidR="00D502D2" w:rsidRPr="00CB4CB7" w:rsidRDefault="00D502D2" w:rsidP="00CB4CB7">
      <w:pPr>
        <w:jc w:val="both"/>
        <w:rPr>
          <w:b/>
          <w:sz w:val="28"/>
          <w:szCs w:val="28"/>
        </w:rPr>
      </w:pPr>
      <w:r w:rsidRPr="00CB4CB7">
        <w:rPr>
          <w:b/>
          <w:sz w:val="28"/>
          <w:szCs w:val="28"/>
        </w:rPr>
        <w:t xml:space="preserve">THÀNH PHỐ TAM KỲ </w:t>
      </w:r>
      <w:r w:rsidRPr="00CB4CB7">
        <w:rPr>
          <w:b/>
          <w:sz w:val="28"/>
          <w:szCs w:val="28"/>
        </w:rPr>
        <w:tab/>
        <w:t xml:space="preserve">      </w:t>
      </w:r>
      <w:r w:rsidRPr="00CB4CB7">
        <w:rPr>
          <w:b/>
          <w:sz w:val="28"/>
          <w:szCs w:val="28"/>
        </w:rPr>
        <w:tab/>
      </w:r>
      <w:r w:rsidR="00CB4CB7">
        <w:rPr>
          <w:b/>
          <w:sz w:val="28"/>
          <w:szCs w:val="28"/>
        </w:rPr>
        <w:t xml:space="preserve">  </w:t>
      </w:r>
      <w:r w:rsidRPr="00CB4CB7">
        <w:rPr>
          <w:b/>
          <w:sz w:val="28"/>
          <w:szCs w:val="28"/>
        </w:rPr>
        <w:t>Độc lập - Tự do - Hạnh phúc</w:t>
      </w:r>
    </w:p>
    <w:p w:rsidR="00D502D2" w:rsidRPr="00CB4CB7" w:rsidRDefault="00CB4CB7" w:rsidP="00CB4CB7">
      <w:pPr>
        <w:jc w:val="both"/>
        <w:rPr>
          <w:b/>
          <w:sz w:val="28"/>
          <w:szCs w:val="28"/>
        </w:rPr>
      </w:pPr>
      <w:r w:rsidRPr="00CB4CB7">
        <w:rPr>
          <w:b/>
          <w:noProof/>
          <w:sz w:val="28"/>
          <w:szCs w:val="28"/>
        </w:rPr>
        <mc:AlternateContent>
          <mc:Choice Requires="wps">
            <w:drawing>
              <wp:anchor distT="0" distB="0" distL="114300" distR="114300" simplePos="0" relativeHeight="251670528" behindDoc="0" locked="0" layoutInCell="1" allowOverlap="1" wp14:anchorId="31807DF8" wp14:editId="296D6777">
                <wp:simplePos x="0" y="0"/>
                <wp:positionH relativeFrom="column">
                  <wp:posOffset>2827020</wp:posOffset>
                </wp:positionH>
                <wp:positionV relativeFrom="paragraph">
                  <wp:posOffset>42545</wp:posOffset>
                </wp:positionV>
                <wp:extent cx="21717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6pt,3.35pt" to="393.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Ye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"/>
            </w:pict>
          </mc:Fallback>
        </mc:AlternateContent>
      </w:r>
      <w:r w:rsidRPr="00CB4CB7">
        <w:rPr>
          <w:b/>
          <w:noProof/>
          <w:sz w:val="28"/>
          <w:szCs w:val="28"/>
        </w:rPr>
        <mc:AlternateContent>
          <mc:Choice Requires="wps">
            <w:drawing>
              <wp:anchor distT="0" distB="0" distL="114300" distR="114300" simplePos="0" relativeHeight="251669504" behindDoc="0" locked="0" layoutInCell="1" allowOverlap="1" wp14:anchorId="00304B8B" wp14:editId="57CEBEF4">
                <wp:simplePos x="0" y="0"/>
                <wp:positionH relativeFrom="column">
                  <wp:posOffset>497205</wp:posOffset>
                </wp:positionH>
                <wp:positionV relativeFrom="paragraph">
                  <wp:posOffset>34925</wp:posOffset>
                </wp:positionV>
                <wp:extent cx="9144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pt,2.75pt" to="111.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a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"/>
            </w:pict>
          </mc:Fallback>
        </mc:AlternateContent>
      </w:r>
    </w:p>
    <w:p w:rsidR="00D502D2" w:rsidRPr="00CB4CB7" w:rsidRDefault="00242480" w:rsidP="00CB4CB7">
      <w:pPr>
        <w:jc w:val="both"/>
        <w:rPr>
          <w:i/>
          <w:sz w:val="28"/>
          <w:szCs w:val="28"/>
        </w:rPr>
      </w:pPr>
      <w:r>
        <w:rPr>
          <w:sz w:val="28"/>
          <w:szCs w:val="28"/>
        </w:rPr>
        <w:t xml:space="preserve">  </w:t>
      </w:r>
      <w:r w:rsidR="00D502D2" w:rsidRPr="00CB4CB7">
        <w:rPr>
          <w:sz w:val="28"/>
          <w:szCs w:val="28"/>
        </w:rPr>
        <w:t>Số:          /NQ-HĐND</w:t>
      </w:r>
      <w:r w:rsidR="00D502D2" w:rsidRPr="00CB4CB7">
        <w:rPr>
          <w:sz w:val="28"/>
          <w:szCs w:val="28"/>
        </w:rPr>
        <w:tab/>
      </w:r>
      <w:r w:rsidR="00D502D2" w:rsidRPr="00CB4CB7">
        <w:rPr>
          <w:sz w:val="28"/>
          <w:szCs w:val="28"/>
        </w:rPr>
        <w:tab/>
      </w:r>
      <w:r>
        <w:rPr>
          <w:sz w:val="28"/>
          <w:szCs w:val="28"/>
        </w:rPr>
        <w:t xml:space="preserve">     </w:t>
      </w:r>
      <w:r w:rsidR="00D502D2" w:rsidRPr="00CB4CB7">
        <w:rPr>
          <w:i/>
          <w:sz w:val="28"/>
          <w:szCs w:val="28"/>
        </w:rPr>
        <w:t>Tam Kỳ, ngày         tháng 12 năm 2021</w:t>
      </w:r>
    </w:p>
    <w:p w:rsidR="00D502D2" w:rsidRDefault="00D502D2" w:rsidP="00444AA7">
      <w:pPr>
        <w:ind w:firstLine="720"/>
        <w:jc w:val="both"/>
        <w:rPr>
          <w:i/>
          <w:sz w:val="28"/>
          <w:szCs w:val="28"/>
        </w:rPr>
      </w:pPr>
      <w:r w:rsidRPr="00CB4CB7">
        <w:rPr>
          <w:i/>
          <w:sz w:val="28"/>
          <w:szCs w:val="28"/>
        </w:rPr>
        <w:t>(Dự thảo)</w:t>
      </w:r>
    </w:p>
    <w:p w:rsidR="00E45C31" w:rsidRPr="00444AA7" w:rsidRDefault="00E45C31" w:rsidP="00444AA7">
      <w:pPr>
        <w:ind w:firstLine="720"/>
        <w:jc w:val="both"/>
        <w:rPr>
          <w:i/>
          <w:sz w:val="28"/>
          <w:szCs w:val="28"/>
        </w:rPr>
      </w:pPr>
    </w:p>
    <w:p w:rsidR="00D502D2" w:rsidRPr="00CB4CB7" w:rsidRDefault="00D502D2" w:rsidP="00CB4CB7">
      <w:pPr>
        <w:pStyle w:val="Heading3"/>
        <w:jc w:val="center"/>
        <w:rPr>
          <w:rFonts w:ascii="Times New Roman" w:hAnsi="Times New Roman"/>
          <w:sz w:val="28"/>
          <w:szCs w:val="28"/>
        </w:rPr>
      </w:pPr>
      <w:r w:rsidRPr="00CB4CB7">
        <w:rPr>
          <w:rFonts w:ascii="Times New Roman" w:hAnsi="Times New Roman"/>
          <w:sz w:val="28"/>
          <w:szCs w:val="28"/>
        </w:rPr>
        <w:t>NGHỊ QUYẾT</w:t>
      </w:r>
    </w:p>
    <w:p w:rsidR="007D4C2E" w:rsidRDefault="00D50D51" w:rsidP="007D4C2E">
      <w:pPr>
        <w:jc w:val="center"/>
        <w:rPr>
          <w:b/>
          <w:sz w:val="28"/>
          <w:szCs w:val="28"/>
        </w:rPr>
      </w:pPr>
      <w:r>
        <w:rPr>
          <w:b/>
          <w:sz w:val="28"/>
          <w:szCs w:val="28"/>
        </w:rPr>
        <w:t xml:space="preserve">Về </w:t>
      </w:r>
      <w:r w:rsidR="00D502D2" w:rsidRPr="00CB4CB7">
        <w:rPr>
          <w:b/>
          <w:sz w:val="28"/>
          <w:szCs w:val="28"/>
        </w:rPr>
        <w:t>đ</w:t>
      </w:r>
      <w:r w:rsidR="000C6A7B" w:rsidRPr="00CB4CB7">
        <w:rPr>
          <w:b/>
          <w:sz w:val="28"/>
          <w:szCs w:val="28"/>
        </w:rPr>
        <w:t xml:space="preserve">iều chỉnh </w:t>
      </w:r>
      <w:r w:rsidR="00E12A1E" w:rsidRPr="00E12A1E">
        <w:rPr>
          <w:b/>
          <w:sz w:val="28"/>
          <w:szCs w:val="28"/>
        </w:rPr>
        <w:t>tỷ lệ hỗ trợ từ ngân sách thành phố</w:t>
      </w:r>
      <w:r w:rsidR="008334E5">
        <w:rPr>
          <w:b/>
          <w:sz w:val="28"/>
          <w:szCs w:val="28"/>
        </w:rPr>
        <w:t>, xã phường</w:t>
      </w:r>
      <w:r w:rsidR="0089557B" w:rsidRPr="00CB4CB7">
        <w:rPr>
          <w:b/>
          <w:sz w:val="28"/>
          <w:szCs w:val="28"/>
        </w:rPr>
        <w:t xml:space="preserve"> </w:t>
      </w:r>
    </w:p>
    <w:p w:rsidR="00862F87" w:rsidRDefault="0089557B" w:rsidP="00862F87">
      <w:pPr>
        <w:jc w:val="center"/>
        <w:rPr>
          <w:b/>
          <w:sz w:val="28"/>
          <w:szCs w:val="28"/>
        </w:rPr>
      </w:pPr>
      <w:r w:rsidRPr="00CB4CB7">
        <w:rPr>
          <w:b/>
          <w:sz w:val="28"/>
          <w:szCs w:val="28"/>
        </w:rPr>
        <w:t>tại</w:t>
      </w:r>
      <w:r w:rsidR="000C6A7B" w:rsidRPr="00CB4CB7">
        <w:rPr>
          <w:b/>
          <w:sz w:val="28"/>
          <w:szCs w:val="28"/>
        </w:rPr>
        <w:t xml:space="preserve"> Nghị quyết số 193/NQ-HĐND ngày 21/7/2021 và </w:t>
      </w:r>
    </w:p>
    <w:p w:rsidR="007D4C2E" w:rsidRDefault="000C6A7B" w:rsidP="00862F87">
      <w:pPr>
        <w:jc w:val="center"/>
        <w:rPr>
          <w:b/>
          <w:sz w:val="28"/>
          <w:szCs w:val="28"/>
        </w:rPr>
      </w:pPr>
      <w:r w:rsidRPr="00CB4CB7">
        <w:rPr>
          <w:b/>
          <w:sz w:val="28"/>
          <w:szCs w:val="28"/>
        </w:rPr>
        <w:t>Nghị quyết số 269/NQ-HĐND ngày 04/10/2021</w:t>
      </w:r>
      <w:r w:rsidR="0089557B" w:rsidRPr="00CB4CB7">
        <w:rPr>
          <w:b/>
          <w:sz w:val="28"/>
          <w:szCs w:val="28"/>
        </w:rPr>
        <w:t xml:space="preserve"> </w:t>
      </w:r>
    </w:p>
    <w:p w:rsidR="00D35E47" w:rsidRPr="00CB4CB7" w:rsidRDefault="007D4C2E" w:rsidP="007D4C2E">
      <w:pPr>
        <w:jc w:val="center"/>
        <w:rPr>
          <w:b/>
          <w:sz w:val="28"/>
          <w:szCs w:val="28"/>
        </w:rPr>
      </w:pPr>
      <w:r>
        <w:rPr>
          <w:b/>
          <w:sz w:val="28"/>
          <w:szCs w:val="28"/>
        </w:rPr>
        <w:t>của Hội đồng nhân dân</w:t>
      </w:r>
      <w:r w:rsidR="000C6A7B" w:rsidRPr="00CB4CB7">
        <w:rPr>
          <w:b/>
          <w:sz w:val="28"/>
          <w:szCs w:val="28"/>
        </w:rPr>
        <w:t xml:space="preserve"> thành phố</w:t>
      </w:r>
      <w:r w:rsidR="00206D7A">
        <w:rPr>
          <w:b/>
          <w:sz w:val="28"/>
          <w:szCs w:val="28"/>
        </w:rPr>
        <w:t xml:space="preserve"> Tam Kỳ</w:t>
      </w:r>
    </w:p>
    <w:p w:rsidR="00D35E47" w:rsidRPr="00CB4CB7" w:rsidRDefault="00D35E47" w:rsidP="00CB4CB7">
      <w:pPr>
        <w:rPr>
          <w:sz w:val="28"/>
          <w:szCs w:val="28"/>
        </w:rPr>
      </w:pPr>
      <w:r w:rsidRPr="00CB4CB7">
        <w:rPr>
          <w:noProof/>
          <w:sz w:val="28"/>
          <w:szCs w:val="28"/>
        </w:rPr>
        <mc:AlternateContent>
          <mc:Choice Requires="wps">
            <w:drawing>
              <wp:anchor distT="0" distB="0" distL="114300" distR="114300" simplePos="0" relativeHeight="251662336" behindDoc="0" locked="0" layoutInCell="1" allowOverlap="1" wp14:anchorId="3EE0E64C" wp14:editId="54EFBE1C">
                <wp:simplePos x="0" y="0"/>
                <wp:positionH relativeFrom="column">
                  <wp:posOffset>2276475</wp:posOffset>
                </wp:positionH>
                <wp:positionV relativeFrom="paragraph">
                  <wp:posOffset>96520</wp:posOffset>
                </wp:positionV>
                <wp:extent cx="1371600" cy="0"/>
                <wp:effectExtent l="6985" t="11430" r="1206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B5327A0"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25pt,7.6pt" to="287.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Kj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xUzZL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"/>
            </w:pict>
          </mc:Fallback>
        </mc:AlternateContent>
      </w:r>
    </w:p>
    <w:p w:rsidR="00D35E47" w:rsidRPr="00CB4CB7" w:rsidRDefault="00D35E47" w:rsidP="00CB4CB7">
      <w:pPr>
        <w:rPr>
          <w:sz w:val="28"/>
          <w:szCs w:val="28"/>
        </w:rPr>
      </w:pPr>
    </w:p>
    <w:p w:rsidR="00D502D2" w:rsidRPr="00CB4CB7" w:rsidRDefault="00D502D2" w:rsidP="00CB4CB7">
      <w:pPr>
        <w:pStyle w:val="Heading5"/>
        <w:spacing w:before="0"/>
        <w:jc w:val="center"/>
        <w:rPr>
          <w:rFonts w:ascii="Times New Roman" w:hAnsi="Times New Roman" w:cs="Times New Roman"/>
          <w:b/>
          <w:color w:val="auto"/>
          <w:sz w:val="28"/>
          <w:szCs w:val="28"/>
        </w:rPr>
      </w:pPr>
      <w:r w:rsidRPr="00CB4CB7">
        <w:rPr>
          <w:rFonts w:ascii="Times New Roman" w:hAnsi="Times New Roman" w:cs="Times New Roman"/>
          <w:b/>
          <w:color w:val="auto"/>
          <w:sz w:val="28"/>
          <w:szCs w:val="28"/>
        </w:rPr>
        <w:t>HỘI ĐỒNG NHÂN DÂN THÀNH PHỐ TAM KỲ</w:t>
      </w:r>
    </w:p>
    <w:p w:rsidR="00D502D2" w:rsidRPr="00CB4CB7" w:rsidRDefault="00D502D2" w:rsidP="00CB4CB7">
      <w:pPr>
        <w:pStyle w:val="Heading5"/>
        <w:spacing w:before="0"/>
        <w:jc w:val="center"/>
        <w:rPr>
          <w:rFonts w:ascii="Times New Roman" w:hAnsi="Times New Roman" w:cs="Times New Roman"/>
          <w:color w:val="auto"/>
          <w:sz w:val="28"/>
          <w:szCs w:val="28"/>
        </w:rPr>
      </w:pPr>
      <w:r w:rsidRPr="00CB4CB7">
        <w:rPr>
          <w:rFonts w:ascii="Times New Roman" w:hAnsi="Times New Roman" w:cs="Times New Roman"/>
          <w:b/>
          <w:noProof/>
          <w:color w:val="auto"/>
          <w:sz w:val="28"/>
          <w:szCs w:val="28"/>
        </w:rPr>
        <mc:AlternateContent>
          <mc:Choice Requires="wps">
            <w:drawing>
              <wp:anchor distT="0" distB="0" distL="114300" distR="114300" simplePos="0" relativeHeight="251672576" behindDoc="0" locked="0" layoutInCell="0" allowOverlap="1" wp14:anchorId="0C5D2379" wp14:editId="6C2690A0">
                <wp:simplePos x="0" y="0"/>
                <wp:positionH relativeFrom="column">
                  <wp:posOffset>2122805</wp:posOffset>
                </wp:positionH>
                <wp:positionV relativeFrom="paragraph">
                  <wp:posOffset>188595</wp:posOffset>
                </wp:positionV>
                <wp:extent cx="0" cy="0"/>
                <wp:effectExtent l="13970" t="5715" r="5080" b="1333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655F6E8" id="Straight Connector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15pt,14.85pt" to="167.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SX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" o:allowincell="f"/>
            </w:pict>
          </mc:Fallback>
        </mc:AlternateContent>
      </w:r>
      <w:r w:rsidRPr="00CB4CB7">
        <w:rPr>
          <w:rFonts w:ascii="Times New Roman" w:hAnsi="Times New Roman" w:cs="Times New Roman"/>
          <w:b/>
          <w:color w:val="auto"/>
          <w:sz w:val="28"/>
          <w:szCs w:val="28"/>
        </w:rPr>
        <w:t>KHOÁ XII, KỲ HỌP THỨ 4</w:t>
      </w:r>
    </w:p>
    <w:p w:rsidR="00D502D2" w:rsidRPr="00CB4CB7" w:rsidRDefault="00D502D2" w:rsidP="00CB4CB7">
      <w:pPr>
        <w:rPr>
          <w:sz w:val="28"/>
          <w:szCs w:val="28"/>
        </w:rPr>
      </w:pPr>
      <w:r w:rsidRPr="00CB4CB7">
        <w:rPr>
          <w:noProof/>
          <w:sz w:val="28"/>
          <w:szCs w:val="28"/>
        </w:rPr>
        <mc:AlternateContent>
          <mc:Choice Requires="wps">
            <w:drawing>
              <wp:anchor distT="0" distB="0" distL="114300" distR="114300" simplePos="0" relativeHeight="251673600" behindDoc="0" locked="0" layoutInCell="1" allowOverlap="1" wp14:anchorId="1E8748C2" wp14:editId="46FEED0E">
                <wp:simplePos x="0" y="0"/>
                <wp:positionH relativeFrom="column">
                  <wp:posOffset>2215198</wp:posOffset>
                </wp:positionH>
                <wp:positionV relativeFrom="paragraph">
                  <wp:posOffset>74295</wp:posOffset>
                </wp:positionV>
                <wp:extent cx="13716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41EDF2C"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45pt,5.85pt" to="282.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"/>
            </w:pict>
          </mc:Fallback>
        </mc:AlternateContent>
      </w:r>
    </w:p>
    <w:p w:rsidR="00D502D2" w:rsidRPr="00CB4CB7" w:rsidRDefault="00D502D2" w:rsidP="00E45C31">
      <w:pPr>
        <w:spacing w:before="120"/>
        <w:ind w:firstLine="720"/>
        <w:jc w:val="both"/>
        <w:rPr>
          <w:i/>
          <w:sz w:val="28"/>
          <w:szCs w:val="28"/>
        </w:rPr>
      </w:pPr>
      <w:r w:rsidRPr="00CB4CB7">
        <w:rPr>
          <w:i/>
          <w:sz w:val="28"/>
          <w:szCs w:val="28"/>
        </w:rPr>
        <w:t>Căn cứ Luật Tổ chức chính quyền địa phương ngày 19/6/2015; Luật sửa đổi, bổ sung một số điều của Luật Tổ chức Chính phủ và Luật Tổ chức chính quyền địa phương ngày 22/11/2019;</w:t>
      </w:r>
    </w:p>
    <w:p w:rsidR="00114D47" w:rsidRDefault="00780A07" w:rsidP="00E45C31">
      <w:pPr>
        <w:tabs>
          <w:tab w:val="left" w:pos="454"/>
          <w:tab w:val="left" w:pos="567"/>
          <w:tab w:val="left" w:pos="680"/>
          <w:tab w:val="left" w:pos="794"/>
        </w:tabs>
        <w:spacing w:before="120"/>
        <w:ind w:firstLine="709"/>
        <w:jc w:val="both"/>
        <w:rPr>
          <w:i/>
          <w:noProof/>
          <w:sz w:val="28"/>
          <w:szCs w:val="28"/>
          <w:lang w:val="nl-NL"/>
        </w:rPr>
      </w:pPr>
      <w:r w:rsidRPr="00CB4CB7">
        <w:rPr>
          <w:i/>
          <w:noProof/>
          <w:sz w:val="28"/>
          <w:szCs w:val="28"/>
          <w:lang w:val="nl-NL"/>
        </w:rPr>
        <w:t>Căn cứ Luật Ngân sách nhà nước ngày 25/6/2015;</w:t>
      </w:r>
    </w:p>
    <w:p w:rsidR="00EE0BE9" w:rsidRPr="00CB4CB7" w:rsidRDefault="00EE0BE9" w:rsidP="00E45C31">
      <w:pPr>
        <w:tabs>
          <w:tab w:val="left" w:pos="454"/>
          <w:tab w:val="left" w:pos="567"/>
          <w:tab w:val="left" w:pos="680"/>
          <w:tab w:val="left" w:pos="794"/>
        </w:tabs>
        <w:spacing w:before="120"/>
        <w:ind w:firstLine="709"/>
        <w:jc w:val="both"/>
        <w:rPr>
          <w:i/>
          <w:noProof/>
          <w:sz w:val="28"/>
          <w:szCs w:val="28"/>
          <w:lang w:val="nl-NL"/>
        </w:rPr>
      </w:pPr>
      <w:r w:rsidRPr="00CB4CB7">
        <w:rPr>
          <w:i/>
          <w:noProof/>
          <w:sz w:val="28"/>
          <w:szCs w:val="28"/>
          <w:lang w:val="nl-NL"/>
        </w:rPr>
        <w:t>Căn cứ Nghị định số 163/2016/NĐ-CP</w:t>
      </w:r>
      <w:r w:rsidR="00114D47">
        <w:rPr>
          <w:i/>
          <w:noProof/>
          <w:sz w:val="28"/>
          <w:szCs w:val="28"/>
          <w:lang w:val="nl-NL"/>
        </w:rPr>
        <w:t>,</w:t>
      </w:r>
      <w:r w:rsidRPr="00CB4CB7">
        <w:rPr>
          <w:i/>
          <w:noProof/>
          <w:sz w:val="28"/>
          <w:szCs w:val="28"/>
          <w:lang w:val="nl-NL"/>
        </w:rPr>
        <w:t xml:space="preserve"> ngày 21/12/2016 của Chính phủ quy định chi tiết thi hành một số điều của Luật Ngân sách nhà nước;</w:t>
      </w:r>
    </w:p>
    <w:p w:rsidR="00086704" w:rsidRPr="00CB4CB7" w:rsidRDefault="00086704" w:rsidP="00E45C31">
      <w:pPr>
        <w:shd w:val="clear" w:color="auto" w:fill="FFFFFF"/>
        <w:spacing w:before="120"/>
        <w:ind w:firstLine="709"/>
        <w:jc w:val="both"/>
        <w:rPr>
          <w:sz w:val="28"/>
          <w:szCs w:val="28"/>
        </w:rPr>
      </w:pPr>
      <w:r w:rsidRPr="00CB4CB7">
        <w:rPr>
          <w:i/>
          <w:iCs/>
          <w:sz w:val="28"/>
          <w:szCs w:val="28"/>
        </w:rPr>
        <w:t>Căn cứ Nghị quyết số 36/2021/NQ-HĐND</w:t>
      </w:r>
      <w:r w:rsidR="00114D47">
        <w:rPr>
          <w:i/>
          <w:iCs/>
          <w:sz w:val="28"/>
          <w:szCs w:val="28"/>
        </w:rPr>
        <w:t>,</w:t>
      </w:r>
      <w:r w:rsidRPr="00CB4CB7">
        <w:rPr>
          <w:i/>
          <w:iCs/>
          <w:sz w:val="28"/>
          <w:szCs w:val="28"/>
        </w:rPr>
        <w:t> ngày 08/12/2021 của HĐND tỉnh khóa X ban hành quy định phân cấp nguồn thu, nhiệm vụ chi và định mức phân bổ dự toán chi thường xuyên ngân sách địa phương năm 2022, năm đầu thời kỳ ổn định ngân sách 2022-2025;</w:t>
      </w:r>
    </w:p>
    <w:p w:rsidR="000C6A7B" w:rsidRPr="00CB4CB7" w:rsidRDefault="000C6A7B" w:rsidP="00E45C31">
      <w:pPr>
        <w:spacing w:before="120"/>
        <w:ind w:firstLine="709"/>
        <w:jc w:val="both"/>
        <w:rPr>
          <w:i/>
          <w:sz w:val="28"/>
          <w:szCs w:val="28"/>
        </w:rPr>
      </w:pPr>
      <w:r w:rsidRPr="00CB4CB7">
        <w:rPr>
          <w:i/>
          <w:sz w:val="28"/>
          <w:szCs w:val="28"/>
        </w:rPr>
        <w:t>Căn cứ Nghị quyết số 193/NQ-HĐND</w:t>
      </w:r>
      <w:r w:rsidR="00114D47">
        <w:rPr>
          <w:i/>
          <w:sz w:val="28"/>
          <w:szCs w:val="28"/>
        </w:rPr>
        <w:t>,</w:t>
      </w:r>
      <w:r w:rsidRPr="00CB4CB7">
        <w:rPr>
          <w:i/>
          <w:sz w:val="28"/>
          <w:szCs w:val="28"/>
        </w:rPr>
        <w:t xml:space="preserve"> ngày 21/7/2021 của HĐND thành phố về quy định tỷ lệ hỗ trợ từ ngân sách thành phố để thực hiện Nghị quyết số 03/2021/NQ-HĐND ngày 13/01/2021 của HĐND tỉnh Quảng Nam;</w:t>
      </w:r>
    </w:p>
    <w:p w:rsidR="00210F8C" w:rsidRPr="00CB4CB7" w:rsidRDefault="000C6A7B" w:rsidP="00E45C31">
      <w:pPr>
        <w:spacing w:before="120"/>
        <w:ind w:firstLine="709"/>
        <w:jc w:val="both"/>
        <w:rPr>
          <w:i/>
          <w:sz w:val="28"/>
          <w:szCs w:val="28"/>
        </w:rPr>
      </w:pPr>
      <w:r w:rsidRPr="00CB4CB7">
        <w:rPr>
          <w:i/>
          <w:sz w:val="28"/>
          <w:szCs w:val="28"/>
        </w:rPr>
        <w:t>Căn cứ Nghị quyết số 269/NQ-HĐND</w:t>
      </w:r>
      <w:r w:rsidR="00114D47">
        <w:rPr>
          <w:i/>
          <w:sz w:val="28"/>
          <w:szCs w:val="28"/>
        </w:rPr>
        <w:t>,</w:t>
      </w:r>
      <w:r w:rsidRPr="00CB4CB7">
        <w:rPr>
          <w:i/>
          <w:sz w:val="28"/>
          <w:szCs w:val="28"/>
        </w:rPr>
        <w:t xml:space="preserve"> ngày 04/10/2021 của HĐND thành phố về quy định tỷ lệ</w:t>
      </w:r>
      <w:r w:rsidR="003326A9" w:rsidRPr="00CB4CB7">
        <w:rPr>
          <w:i/>
          <w:sz w:val="28"/>
          <w:szCs w:val="28"/>
        </w:rPr>
        <w:t xml:space="preserve"> hỗ trợ từ ngân sách thành phố, xã phường để đầu tư nâng cấp, chỉnh trang và khớp nối hạ tầng kỹ thuật tại các xã, phường trên địa bàn thành phố giai đoạn 2021-2025</w:t>
      </w:r>
      <w:r w:rsidR="00210F8C" w:rsidRPr="00CB4CB7">
        <w:rPr>
          <w:i/>
          <w:sz w:val="28"/>
          <w:szCs w:val="28"/>
        </w:rPr>
        <w:t>;</w:t>
      </w:r>
    </w:p>
    <w:p w:rsidR="00F7686B" w:rsidRPr="008334E5" w:rsidRDefault="00D502D2" w:rsidP="00E45C31">
      <w:pPr>
        <w:spacing w:before="120"/>
        <w:ind w:firstLine="720"/>
        <w:jc w:val="both"/>
        <w:rPr>
          <w:i/>
          <w:spacing w:val="-4"/>
          <w:sz w:val="28"/>
          <w:szCs w:val="28"/>
        </w:rPr>
      </w:pPr>
      <w:r w:rsidRPr="00CB4CB7">
        <w:rPr>
          <w:i/>
          <w:sz w:val="28"/>
          <w:szCs w:val="28"/>
        </w:rPr>
        <w:t xml:space="preserve">Xét Tờ trình số </w:t>
      </w:r>
      <w:r w:rsidR="00114D47">
        <w:rPr>
          <w:i/>
          <w:sz w:val="28"/>
          <w:szCs w:val="28"/>
        </w:rPr>
        <w:t xml:space="preserve">  </w:t>
      </w:r>
      <w:r w:rsidR="00F7686B" w:rsidRPr="00CB4CB7">
        <w:rPr>
          <w:i/>
          <w:sz w:val="28"/>
          <w:szCs w:val="28"/>
        </w:rPr>
        <w:t xml:space="preserve"> </w:t>
      </w:r>
      <w:r w:rsidRPr="00CB4CB7">
        <w:rPr>
          <w:i/>
          <w:sz w:val="28"/>
          <w:szCs w:val="28"/>
        </w:rPr>
        <w:t xml:space="preserve">/TTr-UBND ngày </w:t>
      </w:r>
      <w:r w:rsidR="00F7686B" w:rsidRPr="00CB4CB7">
        <w:rPr>
          <w:i/>
          <w:sz w:val="28"/>
          <w:szCs w:val="28"/>
        </w:rPr>
        <w:t>….</w:t>
      </w:r>
      <w:r w:rsidR="00114D47">
        <w:rPr>
          <w:i/>
          <w:sz w:val="28"/>
          <w:szCs w:val="28"/>
        </w:rPr>
        <w:t>/</w:t>
      </w:r>
      <w:r w:rsidR="00F7686B" w:rsidRPr="00CB4CB7">
        <w:rPr>
          <w:i/>
          <w:sz w:val="28"/>
          <w:szCs w:val="28"/>
        </w:rPr>
        <w:t>12</w:t>
      </w:r>
      <w:r w:rsidR="00114D47">
        <w:rPr>
          <w:i/>
          <w:sz w:val="28"/>
          <w:szCs w:val="28"/>
        </w:rPr>
        <w:t>/</w:t>
      </w:r>
      <w:r w:rsidRPr="00CB4CB7">
        <w:rPr>
          <w:i/>
          <w:sz w:val="28"/>
          <w:szCs w:val="28"/>
        </w:rPr>
        <w:t>2021 của Ủy ban nhân dân thành phố về</w:t>
      </w:r>
      <w:r w:rsidRPr="00CB4CB7">
        <w:rPr>
          <w:i/>
          <w:sz w:val="28"/>
          <w:szCs w:val="28"/>
          <w:lang w:val="nl-NL"/>
        </w:rPr>
        <w:t xml:space="preserve"> đề nghị </w:t>
      </w:r>
      <w:r w:rsidR="003326A9" w:rsidRPr="00CB4CB7">
        <w:rPr>
          <w:i/>
          <w:sz w:val="28"/>
          <w:szCs w:val="28"/>
          <w:lang w:val="nl-NL"/>
        </w:rPr>
        <w:t xml:space="preserve">điều chỉnh </w:t>
      </w:r>
      <w:r w:rsidR="003326A9" w:rsidRPr="00CB4CB7">
        <w:rPr>
          <w:i/>
          <w:sz w:val="28"/>
          <w:szCs w:val="28"/>
        </w:rPr>
        <w:t>tỷ lệ hỗ trợ từ ngân sách thành phố</w:t>
      </w:r>
      <w:r w:rsidR="00C65548">
        <w:rPr>
          <w:i/>
          <w:sz w:val="28"/>
          <w:szCs w:val="28"/>
        </w:rPr>
        <w:t>, xã phường</w:t>
      </w:r>
      <w:r w:rsidR="003326A9" w:rsidRPr="00CB4CB7">
        <w:rPr>
          <w:i/>
          <w:sz w:val="28"/>
          <w:szCs w:val="28"/>
        </w:rPr>
        <w:t xml:space="preserve"> tại Nghị quyết số 193/NQ-HĐND ngày 21/7/2021 và Nghị quyết số 269/NQ-HĐND ngày 04/10</w:t>
      </w:r>
      <w:r w:rsidR="008334E5">
        <w:rPr>
          <w:i/>
          <w:sz w:val="28"/>
          <w:szCs w:val="28"/>
        </w:rPr>
        <w:t>/2021 của HĐND thành phố,</w:t>
      </w:r>
    </w:p>
    <w:p w:rsidR="00F7686B" w:rsidRPr="008334E5" w:rsidRDefault="00F7686B" w:rsidP="00E45C31">
      <w:pPr>
        <w:pStyle w:val="BodyText"/>
        <w:spacing w:before="120"/>
        <w:rPr>
          <w:rFonts w:ascii="Times New Roman" w:hAnsi="Times New Roman"/>
          <w:szCs w:val="28"/>
        </w:rPr>
      </w:pPr>
      <w:r w:rsidRPr="00CB4CB7">
        <w:rPr>
          <w:rFonts w:ascii="Times New Roman" w:hAnsi="Times New Roman"/>
          <w:szCs w:val="28"/>
        </w:rPr>
        <w:t>QUYẾT NGHỊ:</w:t>
      </w:r>
    </w:p>
    <w:p w:rsidR="00634A6E" w:rsidRDefault="00F7686B" w:rsidP="00E45C31">
      <w:pPr>
        <w:spacing w:before="120"/>
        <w:ind w:firstLine="709"/>
        <w:jc w:val="both"/>
        <w:rPr>
          <w:sz w:val="28"/>
          <w:szCs w:val="28"/>
        </w:rPr>
      </w:pPr>
      <w:r w:rsidRPr="00CB4CB7">
        <w:rPr>
          <w:b/>
          <w:sz w:val="28"/>
          <w:szCs w:val="28"/>
        </w:rPr>
        <w:t xml:space="preserve">Điều 1. </w:t>
      </w:r>
      <w:r w:rsidRPr="00CB4CB7">
        <w:rPr>
          <w:sz w:val="28"/>
          <w:szCs w:val="28"/>
        </w:rPr>
        <w:t>Thống nhất điều chỉnh tỷ lệ hỗ trợ từ ngân sách thành phố</w:t>
      </w:r>
      <w:r w:rsidR="0089557B" w:rsidRPr="00CB4CB7">
        <w:rPr>
          <w:sz w:val="28"/>
          <w:szCs w:val="28"/>
        </w:rPr>
        <w:t>, xã phường</w:t>
      </w:r>
      <w:r w:rsidRPr="00CB4CB7">
        <w:rPr>
          <w:sz w:val="28"/>
          <w:szCs w:val="28"/>
        </w:rPr>
        <w:t xml:space="preserve"> tại Nghị quyết số 193/NQ-HĐND ngày 21/7/2021 và Nghị quyết số 269/NQ-HĐND ngày 04/10/2021 của HĐND thành phố như sau:</w:t>
      </w:r>
    </w:p>
    <w:p w:rsidR="00122972" w:rsidRPr="00E45C31" w:rsidRDefault="00634A6E" w:rsidP="00E45C31">
      <w:pPr>
        <w:spacing w:before="120"/>
        <w:ind w:firstLine="709"/>
        <w:jc w:val="both"/>
        <w:rPr>
          <w:b/>
          <w:sz w:val="28"/>
          <w:szCs w:val="28"/>
        </w:rPr>
      </w:pPr>
      <w:r w:rsidRPr="00E45C31">
        <w:rPr>
          <w:b/>
          <w:sz w:val="28"/>
          <w:szCs w:val="28"/>
        </w:rPr>
        <w:t xml:space="preserve">1. Đối với </w:t>
      </w:r>
      <w:r w:rsidR="003326A9" w:rsidRPr="00E45C31">
        <w:rPr>
          <w:b/>
          <w:spacing w:val="-4"/>
          <w:sz w:val="28"/>
          <w:szCs w:val="28"/>
          <w:lang w:val="es-ES"/>
        </w:rPr>
        <w:t xml:space="preserve">Nghị quyết số </w:t>
      </w:r>
      <w:r w:rsidR="007B445E" w:rsidRPr="00E45C31">
        <w:rPr>
          <w:b/>
          <w:sz w:val="28"/>
          <w:szCs w:val="28"/>
        </w:rPr>
        <w:t>193/NQ-HĐND ngày 21/7/2021</w:t>
      </w:r>
    </w:p>
    <w:p w:rsidR="00E45C31" w:rsidRPr="000D7FA5" w:rsidRDefault="00E45C31" w:rsidP="00E45C31">
      <w:pPr>
        <w:spacing w:before="120"/>
        <w:ind w:firstLine="709"/>
        <w:jc w:val="both"/>
        <w:rPr>
          <w:sz w:val="28"/>
          <w:szCs w:val="28"/>
        </w:rPr>
      </w:pP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2114"/>
        <w:gridCol w:w="1730"/>
        <w:gridCol w:w="2268"/>
        <w:gridCol w:w="1701"/>
        <w:gridCol w:w="708"/>
      </w:tblGrid>
      <w:tr w:rsidR="00122972" w:rsidRPr="00CB4CB7" w:rsidTr="00726685">
        <w:trPr>
          <w:trHeight w:val="416"/>
        </w:trPr>
        <w:tc>
          <w:tcPr>
            <w:tcW w:w="721" w:type="dxa"/>
            <w:vAlign w:val="center"/>
          </w:tcPr>
          <w:p w:rsidR="00122972" w:rsidRPr="00CB4CB7" w:rsidRDefault="00122972" w:rsidP="00E45C31">
            <w:pPr>
              <w:jc w:val="both"/>
              <w:rPr>
                <w:b/>
                <w:spacing w:val="-4"/>
                <w:sz w:val="28"/>
                <w:szCs w:val="28"/>
                <w:lang w:val="pt-BR"/>
              </w:rPr>
            </w:pPr>
            <w:r w:rsidRPr="00CB4CB7">
              <w:rPr>
                <w:b/>
                <w:spacing w:val="-4"/>
                <w:sz w:val="28"/>
                <w:szCs w:val="28"/>
                <w:lang w:val="pt-BR"/>
              </w:rPr>
              <w:lastRenderedPageBreak/>
              <w:t>TT</w:t>
            </w:r>
          </w:p>
        </w:tc>
        <w:tc>
          <w:tcPr>
            <w:tcW w:w="2114" w:type="dxa"/>
            <w:vAlign w:val="center"/>
          </w:tcPr>
          <w:p w:rsidR="00122972" w:rsidRPr="00CB4CB7" w:rsidRDefault="00122972" w:rsidP="00E45C31">
            <w:pPr>
              <w:jc w:val="center"/>
              <w:rPr>
                <w:b/>
                <w:spacing w:val="-4"/>
                <w:sz w:val="28"/>
                <w:szCs w:val="28"/>
                <w:lang w:val="pt-BR"/>
              </w:rPr>
            </w:pPr>
            <w:r w:rsidRPr="00CB4CB7">
              <w:rPr>
                <w:b/>
                <w:spacing w:val="-4"/>
                <w:sz w:val="28"/>
                <w:szCs w:val="28"/>
                <w:lang w:val="pt-BR"/>
              </w:rPr>
              <w:t>Nội dung hỗ trợ</w:t>
            </w:r>
          </w:p>
        </w:tc>
        <w:tc>
          <w:tcPr>
            <w:tcW w:w="1730" w:type="dxa"/>
            <w:vAlign w:val="center"/>
          </w:tcPr>
          <w:p w:rsidR="00122972" w:rsidRPr="00CB4CB7" w:rsidRDefault="00122972" w:rsidP="00E45C31">
            <w:pPr>
              <w:jc w:val="both"/>
              <w:rPr>
                <w:b/>
                <w:spacing w:val="-4"/>
                <w:sz w:val="28"/>
                <w:szCs w:val="28"/>
                <w:lang w:val="es-ES"/>
              </w:rPr>
            </w:pPr>
            <w:r w:rsidRPr="00CB4CB7">
              <w:rPr>
                <w:b/>
                <w:spacing w:val="-4"/>
                <w:sz w:val="28"/>
                <w:szCs w:val="28"/>
                <w:lang w:val="es-ES"/>
              </w:rPr>
              <w:t>Ngân sách  tỉnh</w:t>
            </w:r>
          </w:p>
        </w:tc>
        <w:tc>
          <w:tcPr>
            <w:tcW w:w="2268" w:type="dxa"/>
            <w:vAlign w:val="center"/>
          </w:tcPr>
          <w:p w:rsidR="00122972" w:rsidRPr="00CB4CB7" w:rsidRDefault="00122972" w:rsidP="00E45C31">
            <w:pPr>
              <w:jc w:val="center"/>
              <w:rPr>
                <w:b/>
                <w:spacing w:val="-4"/>
                <w:sz w:val="28"/>
                <w:szCs w:val="28"/>
                <w:lang w:val="es-ES"/>
              </w:rPr>
            </w:pPr>
            <w:r w:rsidRPr="00CB4CB7">
              <w:rPr>
                <w:b/>
                <w:spacing w:val="-4"/>
                <w:sz w:val="28"/>
                <w:szCs w:val="28"/>
                <w:lang w:val="es-ES"/>
              </w:rPr>
              <w:t xml:space="preserve">Ngân sách thành phố (trong đó </w:t>
            </w:r>
            <w:r w:rsidRPr="00CB4CB7">
              <w:rPr>
                <w:b/>
                <w:sz w:val="28"/>
                <w:szCs w:val="28"/>
              </w:rPr>
              <w:t>nguồn thu từ tiền sử dụng đất lẻ, thu hợp thức hóa đất ở và chuyển mục đích sử dụng đất trên địa bàn xã, phường chiếm 30%)</w:t>
            </w:r>
          </w:p>
        </w:tc>
        <w:tc>
          <w:tcPr>
            <w:tcW w:w="1701" w:type="dxa"/>
          </w:tcPr>
          <w:p w:rsidR="00122972" w:rsidRPr="00CB4CB7" w:rsidRDefault="00122972" w:rsidP="00E45C31">
            <w:pPr>
              <w:jc w:val="center"/>
              <w:rPr>
                <w:b/>
                <w:spacing w:val="-4"/>
                <w:sz w:val="28"/>
                <w:szCs w:val="28"/>
                <w:lang w:val="es-ES"/>
              </w:rPr>
            </w:pPr>
            <w:r w:rsidRPr="00CB4CB7">
              <w:rPr>
                <w:b/>
                <w:spacing w:val="-4"/>
                <w:sz w:val="28"/>
                <w:szCs w:val="28"/>
                <w:lang w:val="es-ES"/>
              </w:rPr>
              <w:t>Xã hội hóa (hợp tác xã, nhân dân,…)</w:t>
            </w:r>
          </w:p>
        </w:tc>
        <w:tc>
          <w:tcPr>
            <w:tcW w:w="708" w:type="dxa"/>
          </w:tcPr>
          <w:p w:rsidR="00122972" w:rsidRPr="00CB4CB7" w:rsidRDefault="00122972" w:rsidP="00E45C31">
            <w:pPr>
              <w:jc w:val="center"/>
              <w:rPr>
                <w:b/>
                <w:spacing w:val="-4"/>
                <w:sz w:val="28"/>
                <w:szCs w:val="28"/>
                <w:lang w:val="es-ES"/>
              </w:rPr>
            </w:pPr>
            <w:r w:rsidRPr="00CB4CB7">
              <w:rPr>
                <w:b/>
                <w:spacing w:val="-4"/>
                <w:sz w:val="28"/>
                <w:szCs w:val="28"/>
                <w:lang w:val="es-ES"/>
              </w:rPr>
              <w:t>Ghi chú</w:t>
            </w:r>
          </w:p>
        </w:tc>
      </w:tr>
      <w:tr w:rsidR="00122972" w:rsidRPr="00CB4CB7" w:rsidTr="00726685">
        <w:trPr>
          <w:trHeight w:val="1011"/>
        </w:trPr>
        <w:tc>
          <w:tcPr>
            <w:tcW w:w="721" w:type="dxa"/>
            <w:vAlign w:val="center"/>
          </w:tcPr>
          <w:p w:rsidR="00122972" w:rsidRPr="00CB4CB7" w:rsidRDefault="00122972" w:rsidP="00E45C31">
            <w:pPr>
              <w:jc w:val="center"/>
              <w:rPr>
                <w:spacing w:val="-4"/>
                <w:sz w:val="28"/>
                <w:szCs w:val="28"/>
                <w:lang w:val="pt-BR"/>
              </w:rPr>
            </w:pPr>
            <w:r w:rsidRPr="00CB4CB7">
              <w:rPr>
                <w:spacing w:val="-4"/>
                <w:sz w:val="28"/>
                <w:szCs w:val="28"/>
                <w:lang w:val="pt-BR"/>
              </w:rPr>
              <w:softHyphen/>
              <w:t>01</w:t>
            </w:r>
          </w:p>
        </w:tc>
        <w:tc>
          <w:tcPr>
            <w:tcW w:w="2114" w:type="dxa"/>
            <w:vAlign w:val="center"/>
          </w:tcPr>
          <w:p w:rsidR="00122972" w:rsidRPr="00CB4CB7" w:rsidRDefault="00122972" w:rsidP="00E45C31">
            <w:pPr>
              <w:rPr>
                <w:spacing w:val="-4"/>
                <w:sz w:val="28"/>
                <w:szCs w:val="28"/>
                <w:lang w:val="pt-BR"/>
              </w:rPr>
            </w:pPr>
            <w:r w:rsidRPr="00CB4CB7">
              <w:rPr>
                <w:spacing w:val="-4"/>
                <w:sz w:val="28"/>
                <w:szCs w:val="28"/>
                <w:lang w:val="pt-BR"/>
              </w:rPr>
              <w:t>Đầu tư kiên cố hóa kênh mương</w:t>
            </w:r>
          </w:p>
        </w:tc>
        <w:tc>
          <w:tcPr>
            <w:tcW w:w="1730" w:type="dxa"/>
            <w:vAlign w:val="center"/>
          </w:tcPr>
          <w:p w:rsidR="00122972" w:rsidRPr="00CB4CB7" w:rsidRDefault="00122972" w:rsidP="00E45C31">
            <w:pPr>
              <w:jc w:val="both"/>
              <w:rPr>
                <w:spacing w:val="-4"/>
                <w:sz w:val="28"/>
                <w:szCs w:val="28"/>
                <w:lang w:val="es-ES"/>
              </w:rPr>
            </w:pPr>
            <w:r w:rsidRPr="00CB4CB7">
              <w:rPr>
                <w:spacing w:val="-4"/>
                <w:sz w:val="28"/>
                <w:szCs w:val="28"/>
                <w:lang w:val="es-ES"/>
              </w:rPr>
              <w:t xml:space="preserve">     70%</w:t>
            </w:r>
          </w:p>
        </w:tc>
        <w:tc>
          <w:tcPr>
            <w:tcW w:w="2268" w:type="dxa"/>
            <w:vAlign w:val="center"/>
          </w:tcPr>
          <w:p w:rsidR="00122972" w:rsidRPr="00CB4CB7" w:rsidRDefault="00122972" w:rsidP="00E45C31">
            <w:pPr>
              <w:jc w:val="center"/>
              <w:rPr>
                <w:spacing w:val="-4"/>
                <w:sz w:val="28"/>
                <w:szCs w:val="28"/>
              </w:rPr>
            </w:pPr>
            <w:r w:rsidRPr="00CB4CB7">
              <w:rPr>
                <w:spacing w:val="-4"/>
                <w:sz w:val="28"/>
                <w:szCs w:val="28"/>
                <w:lang w:val="es-ES"/>
              </w:rPr>
              <w:t xml:space="preserve">30% </w:t>
            </w:r>
          </w:p>
        </w:tc>
        <w:tc>
          <w:tcPr>
            <w:tcW w:w="1701" w:type="dxa"/>
          </w:tcPr>
          <w:p w:rsidR="00122972" w:rsidRPr="00CB4CB7" w:rsidRDefault="00122972" w:rsidP="00E45C31">
            <w:pPr>
              <w:jc w:val="center"/>
              <w:rPr>
                <w:b/>
                <w:spacing w:val="-4"/>
                <w:sz w:val="28"/>
                <w:szCs w:val="28"/>
              </w:rPr>
            </w:pPr>
          </w:p>
          <w:p w:rsidR="00122972" w:rsidRPr="00CB4CB7" w:rsidRDefault="00122972" w:rsidP="00E45C31">
            <w:pPr>
              <w:jc w:val="center"/>
              <w:rPr>
                <w:b/>
                <w:spacing w:val="-4"/>
                <w:sz w:val="28"/>
                <w:szCs w:val="28"/>
              </w:rPr>
            </w:pPr>
            <w:r w:rsidRPr="00CB4CB7">
              <w:rPr>
                <w:b/>
                <w:spacing w:val="-4"/>
                <w:sz w:val="28"/>
                <w:szCs w:val="28"/>
              </w:rPr>
              <w:t>-</w:t>
            </w:r>
          </w:p>
        </w:tc>
        <w:tc>
          <w:tcPr>
            <w:tcW w:w="708" w:type="dxa"/>
          </w:tcPr>
          <w:p w:rsidR="00122972" w:rsidRPr="00CB4CB7" w:rsidRDefault="00122972" w:rsidP="00E45C31">
            <w:pPr>
              <w:jc w:val="center"/>
              <w:rPr>
                <w:b/>
                <w:spacing w:val="-4"/>
                <w:sz w:val="28"/>
                <w:szCs w:val="28"/>
              </w:rPr>
            </w:pPr>
          </w:p>
        </w:tc>
      </w:tr>
      <w:tr w:rsidR="00122972" w:rsidRPr="00CB4CB7" w:rsidTr="00726685">
        <w:trPr>
          <w:trHeight w:val="1833"/>
        </w:trPr>
        <w:tc>
          <w:tcPr>
            <w:tcW w:w="721" w:type="dxa"/>
            <w:vAlign w:val="center"/>
          </w:tcPr>
          <w:p w:rsidR="00122972" w:rsidRPr="00CB4CB7" w:rsidRDefault="00122972" w:rsidP="00E45C31">
            <w:pPr>
              <w:jc w:val="center"/>
              <w:rPr>
                <w:spacing w:val="-4"/>
                <w:sz w:val="28"/>
                <w:szCs w:val="28"/>
                <w:lang w:val="pt-BR"/>
              </w:rPr>
            </w:pPr>
            <w:r w:rsidRPr="00CB4CB7">
              <w:rPr>
                <w:spacing w:val="-4"/>
                <w:sz w:val="28"/>
                <w:szCs w:val="28"/>
                <w:lang w:val="pt-BR"/>
              </w:rPr>
              <w:t>02</w:t>
            </w:r>
          </w:p>
        </w:tc>
        <w:tc>
          <w:tcPr>
            <w:tcW w:w="2114" w:type="dxa"/>
            <w:vAlign w:val="center"/>
          </w:tcPr>
          <w:p w:rsidR="00122972" w:rsidRPr="00CB4CB7" w:rsidRDefault="00122972" w:rsidP="00E45C31">
            <w:pPr>
              <w:rPr>
                <w:spacing w:val="-4"/>
                <w:sz w:val="28"/>
                <w:szCs w:val="28"/>
                <w:lang w:val="pt-BR"/>
              </w:rPr>
            </w:pPr>
            <w:r w:rsidRPr="00CB4CB7">
              <w:rPr>
                <w:spacing w:val="-4"/>
                <w:sz w:val="28"/>
                <w:szCs w:val="28"/>
                <w:lang w:val="pt-BR"/>
              </w:rPr>
              <w:t>Đầu tư phát triển thủy lợi nhỏ</w:t>
            </w:r>
          </w:p>
          <w:p w:rsidR="00122972" w:rsidRPr="00CB4CB7" w:rsidRDefault="00122972" w:rsidP="00E45C31">
            <w:pPr>
              <w:rPr>
                <w:spacing w:val="-4"/>
                <w:sz w:val="28"/>
                <w:szCs w:val="28"/>
                <w:lang w:val="pt-BR"/>
              </w:rPr>
            </w:pPr>
          </w:p>
        </w:tc>
        <w:tc>
          <w:tcPr>
            <w:tcW w:w="1730" w:type="dxa"/>
            <w:vAlign w:val="center"/>
          </w:tcPr>
          <w:p w:rsidR="00122972" w:rsidRPr="00CB4CB7" w:rsidRDefault="00122972" w:rsidP="00E45C31">
            <w:pPr>
              <w:jc w:val="both"/>
              <w:rPr>
                <w:spacing w:val="-4"/>
                <w:sz w:val="28"/>
                <w:szCs w:val="28"/>
                <w:lang w:val="es-ES"/>
              </w:rPr>
            </w:pPr>
            <w:r w:rsidRPr="00CB4CB7">
              <w:rPr>
                <w:spacing w:val="-4"/>
                <w:sz w:val="28"/>
                <w:szCs w:val="28"/>
                <w:lang w:val="es-ES"/>
              </w:rPr>
              <w:t xml:space="preserve">Hỗ trợ tối đa 70% </w:t>
            </w:r>
            <w:r w:rsidR="00726685" w:rsidRPr="00CB4CB7">
              <w:rPr>
                <w:spacing w:val="-4"/>
                <w:sz w:val="28"/>
                <w:szCs w:val="28"/>
                <w:lang w:val="pt-BR"/>
              </w:rPr>
              <w:t>(n</w:t>
            </w:r>
            <w:r w:rsidRPr="00CB4CB7">
              <w:rPr>
                <w:spacing w:val="-4"/>
                <w:sz w:val="28"/>
                <w:szCs w:val="28"/>
                <w:lang w:val="pt-BR"/>
              </w:rPr>
              <w:t>hưng không quá 03 tỷ đồng/công trình)</w:t>
            </w:r>
          </w:p>
        </w:tc>
        <w:tc>
          <w:tcPr>
            <w:tcW w:w="2268" w:type="dxa"/>
            <w:vAlign w:val="center"/>
          </w:tcPr>
          <w:p w:rsidR="00122972" w:rsidRPr="00CB4CB7" w:rsidRDefault="00122972" w:rsidP="00E45C31">
            <w:pPr>
              <w:jc w:val="center"/>
              <w:rPr>
                <w:spacing w:val="-4"/>
                <w:sz w:val="28"/>
                <w:szCs w:val="28"/>
                <w:lang w:val="es-ES"/>
              </w:rPr>
            </w:pPr>
          </w:p>
          <w:p w:rsidR="00122972" w:rsidRPr="00CB4CB7" w:rsidRDefault="00122972" w:rsidP="00E45C31">
            <w:pPr>
              <w:jc w:val="center"/>
              <w:rPr>
                <w:spacing w:val="-4"/>
                <w:sz w:val="28"/>
                <w:szCs w:val="28"/>
              </w:rPr>
            </w:pPr>
            <w:r w:rsidRPr="00CB4CB7">
              <w:rPr>
                <w:spacing w:val="-4"/>
                <w:sz w:val="28"/>
                <w:szCs w:val="28"/>
                <w:lang w:val="es-ES"/>
              </w:rPr>
              <w:t>Phần kinh phí còn lại sau khi trừ ngân sách tỉnh hỗ trợ</w:t>
            </w:r>
          </w:p>
        </w:tc>
        <w:tc>
          <w:tcPr>
            <w:tcW w:w="1701" w:type="dxa"/>
          </w:tcPr>
          <w:p w:rsidR="00122972" w:rsidRPr="00CB4CB7" w:rsidRDefault="00122972" w:rsidP="00E45C31">
            <w:pPr>
              <w:jc w:val="center"/>
              <w:rPr>
                <w:b/>
                <w:spacing w:val="-4"/>
                <w:sz w:val="28"/>
                <w:szCs w:val="28"/>
              </w:rPr>
            </w:pPr>
          </w:p>
          <w:p w:rsidR="00122972" w:rsidRPr="00CB4CB7" w:rsidRDefault="00122972" w:rsidP="00E45C31">
            <w:pPr>
              <w:jc w:val="center"/>
              <w:rPr>
                <w:b/>
                <w:spacing w:val="-4"/>
                <w:sz w:val="28"/>
                <w:szCs w:val="28"/>
              </w:rPr>
            </w:pPr>
          </w:p>
          <w:p w:rsidR="00122972" w:rsidRPr="00CB4CB7" w:rsidRDefault="00122972" w:rsidP="00E45C31">
            <w:pPr>
              <w:jc w:val="center"/>
              <w:rPr>
                <w:b/>
                <w:spacing w:val="-4"/>
                <w:sz w:val="28"/>
                <w:szCs w:val="28"/>
              </w:rPr>
            </w:pPr>
            <w:r w:rsidRPr="00CB4CB7">
              <w:rPr>
                <w:b/>
                <w:spacing w:val="-4"/>
                <w:sz w:val="28"/>
                <w:szCs w:val="28"/>
              </w:rPr>
              <w:t>-</w:t>
            </w:r>
          </w:p>
        </w:tc>
        <w:tc>
          <w:tcPr>
            <w:tcW w:w="708" w:type="dxa"/>
          </w:tcPr>
          <w:p w:rsidR="00122972" w:rsidRPr="00CB4CB7" w:rsidRDefault="00122972" w:rsidP="00E45C31">
            <w:pPr>
              <w:jc w:val="center"/>
              <w:rPr>
                <w:b/>
                <w:spacing w:val="-4"/>
                <w:sz w:val="28"/>
                <w:szCs w:val="28"/>
              </w:rPr>
            </w:pPr>
          </w:p>
        </w:tc>
      </w:tr>
      <w:tr w:rsidR="00122972" w:rsidRPr="00CB4CB7" w:rsidTr="00726685">
        <w:trPr>
          <w:trHeight w:val="1122"/>
        </w:trPr>
        <w:tc>
          <w:tcPr>
            <w:tcW w:w="721" w:type="dxa"/>
            <w:vAlign w:val="center"/>
          </w:tcPr>
          <w:p w:rsidR="00122972" w:rsidRPr="00CB4CB7" w:rsidRDefault="00122972" w:rsidP="00E45C31">
            <w:pPr>
              <w:jc w:val="center"/>
              <w:rPr>
                <w:spacing w:val="-4"/>
                <w:sz w:val="28"/>
                <w:szCs w:val="28"/>
                <w:lang w:val="pt-BR"/>
              </w:rPr>
            </w:pPr>
            <w:r w:rsidRPr="00CB4CB7">
              <w:rPr>
                <w:spacing w:val="-4"/>
                <w:sz w:val="28"/>
                <w:szCs w:val="28"/>
                <w:lang w:val="pt-BR"/>
              </w:rPr>
              <w:t>03</w:t>
            </w:r>
          </w:p>
        </w:tc>
        <w:tc>
          <w:tcPr>
            <w:tcW w:w="2114" w:type="dxa"/>
            <w:vAlign w:val="center"/>
          </w:tcPr>
          <w:p w:rsidR="00122972" w:rsidRPr="00CB4CB7" w:rsidRDefault="00122972" w:rsidP="00E45C31">
            <w:pPr>
              <w:rPr>
                <w:spacing w:val="-4"/>
                <w:sz w:val="28"/>
                <w:szCs w:val="28"/>
                <w:lang w:val="pt-BR"/>
              </w:rPr>
            </w:pPr>
            <w:r w:rsidRPr="00CB4CB7">
              <w:rPr>
                <w:spacing w:val="-4"/>
                <w:sz w:val="28"/>
                <w:szCs w:val="28"/>
                <w:lang w:val="pt-BR"/>
              </w:rPr>
              <w:t>Đầu tư công trình tưới tiên tiến, tiết kiệm nước</w:t>
            </w:r>
          </w:p>
        </w:tc>
        <w:tc>
          <w:tcPr>
            <w:tcW w:w="1730" w:type="dxa"/>
            <w:vAlign w:val="center"/>
          </w:tcPr>
          <w:p w:rsidR="00122972" w:rsidRPr="00CB4CB7" w:rsidRDefault="00122972" w:rsidP="00E45C31">
            <w:pPr>
              <w:jc w:val="both"/>
              <w:rPr>
                <w:b/>
                <w:spacing w:val="-4"/>
                <w:sz w:val="28"/>
                <w:szCs w:val="28"/>
                <w:lang w:val="es-ES"/>
              </w:rPr>
            </w:pPr>
          </w:p>
        </w:tc>
        <w:tc>
          <w:tcPr>
            <w:tcW w:w="2268" w:type="dxa"/>
            <w:vAlign w:val="center"/>
          </w:tcPr>
          <w:p w:rsidR="00122972" w:rsidRPr="00CB4CB7" w:rsidRDefault="00122972" w:rsidP="00E45C31">
            <w:pPr>
              <w:jc w:val="center"/>
              <w:rPr>
                <w:b/>
                <w:spacing w:val="-4"/>
                <w:sz w:val="28"/>
                <w:szCs w:val="28"/>
              </w:rPr>
            </w:pPr>
          </w:p>
        </w:tc>
        <w:tc>
          <w:tcPr>
            <w:tcW w:w="1701" w:type="dxa"/>
          </w:tcPr>
          <w:p w:rsidR="00122972" w:rsidRPr="00CB4CB7" w:rsidRDefault="00122972" w:rsidP="00E45C31">
            <w:pPr>
              <w:jc w:val="center"/>
              <w:rPr>
                <w:b/>
                <w:spacing w:val="-4"/>
                <w:sz w:val="28"/>
                <w:szCs w:val="28"/>
              </w:rPr>
            </w:pPr>
          </w:p>
        </w:tc>
        <w:tc>
          <w:tcPr>
            <w:tcW w:w="708" w:type="dxa"/>
          </w:tcPr>
          <w:p w:rsidR="00122972" w:rsidRPr="00CB4CB7" w:rsidRDefault="00122972" w:rsidP="00E45C31">
            <w:pPr>
              <w:jc w:val="center"/>
              <w:rPr>
                <w:b/>
                <w:spacing w:val="-4"/>
                <w:sz w:val="28"/>
                <w:szCs w:val="28"/>
              </w:rPr>
            </w:pPr>
          </w:p>
        </w:tc>
      </w:tr>
      <w:tr w:rsidR="00122972" w:rsidRPr="00CB4CB7" w:rsidTr="00726685">
        <w:trPr>
          <w:trHeight w:val="1833"/>
        </w:trPr>
        <w:tc>
          <w:tcPr>
            <w:tcW w:w="721" w:type="dxa"/>
            <w:vAlign w:val="center"/>
          </w:tcPr>
          <w:p w:rsidR="00122972" w:rsidRPr="00CB4CB7" w:rsidRDefault="00122972" w:rsidP="00E45C31">
            <w:pPr>
              <w:jc w:val="center"/>
              <w:rPr>
                <w:spacing w:val="-4"/>
                <w:sz w:val="28"/>
                <w:szCs w:val="28"/>
                <w:lang w:val="pt-BR"/>
              </w:rPr>
            </w:pPr>
            <w:r w:rsidRPr="00CB4CB7">
              <w:rPr>
                <w:spacing w:val="-4"/>
                <w:sz w:val="28"/>
                <w:szCs w:val="28"/>
                <w:lang w:val="pt-BR"/>
              </w:rPr>
              <w:t>a.</w:t>
            </w:r>
          </w:p>
        </w:tc>
        <w:tc>
          <w:tcPr>
            <w:tcW w:w="2114" w:type="dxa"/>
            <w:vAlign w:val="center"/>
          </w:tcPr>
          <w:p w:rsidR="00122972" w:rsidRPr="00CB4CB7" w:rsidRDefault="00122972" w:rsidP="00E45C31">
            <w:pPr>
              <w:rPr>
                <w:i/>
                <w:spacing w:val="-4"/>
                <w:sz w:val="28"/>
                <w:szCs w:val="28"/>
                <w:lang w:val="pt-BR"/>
              </w:rPr>
            </w:pPr>
            <w:r w:rsidRPr="00CB4CB7">
              <w:rPr>
                <w:spacing w:val="-4"/>
                <w:sz w:val="28"/>
                <w:szCs w:val="28"/>
                <w:lang w:val="pt-BR"/>
              </w:rPr>
              <w:t>Đầu tư xây dựng công trình</w:t>
            </w:r>
          </w:p>
        </w:tc>
        <w:tc>
          <w:tcPr>
            <w:tcW w:w="1730" w:type="dxa"/>
            <w:vAlign w:val="center"/>
          </w:tcPr>
          <w:p w:rsidR="00122972" w:rsidRPr="00CB4CB7" w:rsidRDefault="00726685" w:rsidP="00E45C31">
            <w:pPr>
              <w:jc w:val="both"/>
              <w:rPr>
                <w:spacing w:val="-4"/>
                <w:sz w:val="28"/>
                <w:szCs w:val="28"/>
                <w:lang w:val="es-ES"/>
              </w:rPr>
            </w:pPr>
            <w:r w:rsidRPr="00CB4CB7">
              <w:rPr>
                <w:spacing w:val="-4"/>
                <w:sz w:val="28"/>
                <w:szCs w:val="28"/>
                <w:lang w:val="es-ES"/>
              </w:rPr>
              <w:t>Hỗ trợ tối đa 50% (n</w:t>
            </w:r>
            <w:r w:rsidR="00122972" w:rsidRPr="00CB4CB7">
              <w:rPr>
                <w:spacing w:val="-4"/>
                <w:sz w:val="28"/>
                <w:szCs w:val="28"/>
                <w:lang w:val="es-ES"/>
              </w:rPr>
              <w:t xml:space="preserve">hưng không quá 40 triệu đồng/01 ha) </w:t>
            </w:r>
          </w:p>
        </w:tc>
        <w:tc>
          <w:tcPr>
            <w:tcW w:w="2268" w:type="dxa"/>
            <w:vAlign w:val="center"/>
          </w:tcPr>
          <w:p w:rsidR="00122972" w:rsidRPr="00CB4CB7" w:rsidRDefault="00122972" w:rsidP="00E45C31">
            <w:pPr>
              <w:jc w:val="center"/>
              <w:rPr>
                <w:spacing w:val="-4"/>
                <w:sz w:val="28"/>
                <w:szCs w:val="28"/>
              </w:rPr>
            </w:pPr>
            <w:r w:rsidRPr="00CB4CB7">
              <w:rPr>
                <w:spacing w:val="-4"/>
                <w:sz w:val="28"/>
                <w:szCs w:val="28"/>
                <w:lang w:val="es-ES"/>
              </w:rPr>
              <w:t>40% phần kinh phí còn lại sau khi trừ ngân sách tỉnh hỗ trợ</w:t>
            </w:r>
            <w:r w:rsidR="00726685" w:rsidRPr="00CB4CB7">
              <w:rPr>
                <w:spacing w:val="-4"/>
                <w:sz w:val="28"/>
                <w:szCs w:val="28"/>
                <w:lang w:val="pt-BR"/>
              </w:rPr>
              <w:t xml:space="preserve"> (n</w:t>
            </w:r>
            <w:r w:rsidRPr="00CB4CB7">
              <w:rPr>
                <w:spacing w:val="-4"/>
                <w:sz w:val="28"/>
                <w:szCs w:val="28"/>
                <w:lang w:val="pt-BR"/>
              </w:rPr>
              <w:t>hưng không quá 16 triệu đồng/01 ha)</w:t>
            </w:r>
          </w:p>
        </w:tc>
        <w:tc>
          <w:tcPr>
            <w:tcW w:w="1701" w:type="dxa"/>
          </w:tcPr>
          <w:p w:rsidR="00122972" w:rsidRPr="00CB4CB7" w:rsidRDefault="00122972" w:rsidP="00E45C31">
            <w:pPr>
              <w:jc w:val="center"/>
              <w:rPr>
                <w:spacing w:val="-4"/>
                <w:sz w:val="28"/>
                <w:szCs w:val="28"/>
              </w:rPr>
            </w:pPr>
            <w:r w:rsidRPr="00CB4CB7">
              <w:rPr>
                <w:spacing w:val="-4"/>
                <w:sz w:val="28"/>
                <w:szCs w:val="28"/>
                <w:lang w:val="es-ES"/>
              </w:rPr>
              <w:t>Phần kinh phí còn lại (sau khi trừ ngân sách tỉnh và ngân sách thành phố hỗ trợ)</w:t>
            </w:r>
          </w:p>
        </w:tc>
        <w:tc>
          <w:tcPr>
            <w:tcW w:w="708" w:type="dxa"/>
          </w:tcPr>
          <w:p w:rsidR="00122972" w:rsidRPr="00CB4CB7" w:rsidRDefault="00122972" w:rsidP="00E45C31">
            <w:pPr>
              <w:jc w:val="center"/>
              <w:rPr>
                <w:spacing w:val="-4"/>
                <w:sz w:val="28"/>
                <w:szCs w:val="28"/>
              </w:rPr>
            </w:pPr>
          </w:p>
        </w:tc>
      </w:tr>
      <w:tr w:rsidR="00122972" w:rsidRPr="00CB4CB7" w:rsidTr="00726685">
        <w:trPr>
          <w:trHeight w:val="1972"/>
        </w:trPr>
        <w:tc>
          <w:tcPr>
            <w:tcW w:w="721" w:type="dxa"/>
            <w:vAlign w:val="center"/>
          </w:tcPr>
          <w:p w:rsidR="00122972" w:rsidRPr="00CB4CB7" w:rsidRDefault="00122972" w:rsidP="00E45C31">
            <w:pPr>
              <w:jc w:val="center"/>
              <w:rPr>
                <w:spacing w:val="-4"/>
                <w:sz w:val="28"/>
                <w:szCs w:val="28"/>
                <w:lang w:val="pt-BR"/>
              </w:rPr>
            </w:pPr>
            <w:r w:rsidRPr="00CB4CB7">
              <w:rPr>
                <w:spacing w:val="-4"/>
                <w:sz w:val="28"/>
                <w:szCs w:val="28"/>
                <w:lang w:val="pt-BR"/>
              </w:rPr>
              <w:t>b.</w:t>
            </w:r>
          </w:p>
        </w:tc>
        <w:tc>
          <w:tcPr>
            <w:tcW w:w="2114" w:type="dxa"/>
            <w:vAlign w:val="center"/>
          </w:tcPr>
          <w:p w:rsidR="00122972" w:rsidRPr="00CB4CB7" w:rsidRDefault="00122972" w:rsidP="00E45C31">
            <w:pPr>
              <w:rPr>
                <w:i/>
                <w:spacing w:val="-4"/>
                <w:sz w:val="28"/>
                <w:szCs w:val="28"/>
                <w:lang w:val="pt-BR"/>
              </w:rPr>
            </w:pPr>
            <w:r w:rsidRPr="00CB4CB7">
              <w:rPr>
                <w:spacing w:val="-4"/>
                <w:sz w:val="28"/>
                <w:szCs w:val="28"/>
                <w:lang w:val="pt-BR"/>
              </w:rPr>
              <w:t>San phẵng đồng ruộng</w:t>
            </w:r>
          </w:p>
        </w:tc>
        <w:tc>
          <w:tcPr>
            <w:tcW w:w="1730" w:type="dxa"/>
            <w:vAlign w:val="center"/>
          </w:tcPr>
          <w:p w:rsidR="00122972" w:rsidRPr="00CB4CB7" w:rsidRDefault="00122972" w:rsidP="00E45C31">
            <w:pPr>
              <w:jc w:val="both"/>
              <w:rPr>
                <w:spacing w:val="-4"/>
                <w:sz w:val="28"/>
                <w:szCs w:val="28"/>
                <w:lang w:val="es-ES"/>
              </w:rPr>
            </w:pPr>
            <w:r w:rsidRPr="00CB4CB7">
              <w:rPr>
                <w:spacing w:val="-4"/>
                <w:sz w:val="28"/>
                <w:szCs w:val="28"/>
                <w:lang w:val="es-ES"/>
              </w:rPr>
              <w:t>Hỗ trợ tối đa 50%</w:t>
            </w:r>
          </w:p>
          <w:p w:rsidR="00122972" w:rsidRPr="00CB4CB7" w:rsidRDefault="00726685" w:rsidP="00E45C31">
            <w:pPr>
              <w:jc w:val="both"/>
              <w:rPr>
                <w:b/>
                <w:spacing w:val="-4"/>
                <w:sz w:val="28"/>
                <w:szCs w:val="28"/>
                <w:lang w:val="es-ES"/>
              </w:rPr>
            </w:pPr>
            <w:r w:rsidRPr="00CB4CB7">
              <w:rPr>
                <w:spacing w:val="-4"/>
                <w:sz w:val="28"/>
                <w:szCs w:val="28"/>
                <w:lang w:val="es-ES"/>
              </w:rPr>
              <w:t>(n</w:t>
            </w:r>
            <w:r w:rsidR="00122972" w:rsidRPr="00CB4CB7">
              <w:rPr>
                <w:spacing w:val="-4"/>
                <w:sz w:val="28"/>
                <w:szCs w:val="28"/>
                <w:lang w:val="es-ES"/>
              </w:rPr>
              <w:t>hưng không quá 10 triệu đồng/01 ha)</w:t>
            </w:r>
          </w:p>
        </w:tc>
        <w:tc>
          <w:tcPr>
            <w:tcW w:w="2268" w:type="dxa"/>
            <w:vAlign w:val="center"/>
          </w:tcPr>
          <w:p w:rsidR="00122972" w:rsidRPr="00CB4CB7" w:rsidRDefault="00122972" w:rsidP="00E45C31">
            <w:pPr>
              <w:jc w:val="center"/>
              <w:rPr>
                <w:spacing w:val="-4"/>
                <w:sz w:val="28"/>
                <w:szCs w:val="28"/>
              </w:rPr>
            </w:pPr>
            <w:r w:rsidRPr="00CB4CB7">
              <w:rPr>
                <w:spacing w:val="-4"/>
                <w:sz w:val="28"/>
                <w:szCs w:val="28"/>
                <w:lang w:val="es-ES"/>
              </w:rPr>
              <w:t>40% phần kinh phí còn lại sau khi trừ ngân sách tỉnh hỗ trợ</w:t>
            </w:r>
            <w:r w:rsidR="00726685" w:rsidRPr="00CB4CB7">
              <w:rPr>
                <w:spacing w:val="-4"/>
                <w:sz w:val="28"/>
                <w:szCs w:val="28"/>
                <w:lang w:val="pt-BR"/>
              </w:rPr>
              <w:t xml:space="preserve"> (n</w:t>
            </w:r>
            <w:r w:rsidRPr="00CB4CB7">
              <w:rPr>
                <w:spacing w:val="-4"/>
                <w:sz w:val="28"/>
                <w:szCs w:val="28"/>
                <w:lang w:val="pt-BR"/>
              </w:rPr>
              <w:t>hưng không quá 04 triệu đồng/01 ha)</w:t>
            </w:r>
          </w:p>
        </w:tc>
        <w:tc>
          <w:tcPr>
            <w:tcW w:w="1701" w:type="dxa"/>
          </w:tcPr>
          <w:p w:rsidR="00122972" w:rsidRPr="00CB4CB7" w:rsidRDefault="00122972" w:rsidP="00E45C31">
            <w:pPr>
              <w:jc w:val="center"/>
              <w:rPr>
                <w:b/>
                <w:spacing w:val="-4"/>
                <w:sz w:val="28"/>
                <w:szCs w:val="28"/>
              </w:rPr>
            </w:pPr>
            <w:r w:rsidRPr="00CB4CB7">
              <w:rPr>
                <w:spacing w:val="-4"/>
                <w:sz w:val="28"/>
                <w:szCs w:val="28"/>
                <w:lang w:val="es-ES"/>
              </w:rPr>
              <w:t>Phần kinh phí còn lại (sau khi trừ ngân sách tỉnh và ngân sách thành phố hỗ trợ)</w:t>
            </w:r>
          </w:p>
        </w:tc>
        <w:tc>
          <w:tcPr>
            <w:tcW w:w="708" w:type="dxa"/>
          </w:tcPr>
          <w:p w:rsidR="00122972" w:rsidRPr="00CB4CB7" w:rsidRDefault="00122972" w:rsidP="00E45C31">
            <w:pPr>
              <w:jc w:val="center"/>
              <w:rPr>
                <w:b/>
                <w:spacing w:val="-4"/>
                <w:sz w:val="28"/>
                <w:szCs w:val="28"/>
              </w:rPr>
            </w:pPr>
          </w:p>
        </w:tc>
      </w:tr>
      <w:tr w:rsidR="00122972" w:rsidRPr="00CB4CB7" w:rsidTr="00726685">
        <w:trPr>
          <w:trHeight w:val="2489"/>
        </w:trPr>
        <w:tc>
          <w:tcPr>
            <w:tcW w:w="721" w:type="dxa"/>
            <w:vAlign w:val="center"/>
          </w:tcPr>
          <w:p w:rsidR="00122972" w:rsidRPr="00CB4CB7" w:rsidRDefault="00122972" w:rsidP="00E45C31">
            <w:pPr>
              <w:jc w:val="center"/>
              <w:rPr>
                <w:spacing w:val="-4"/>
                <w:sz w:val="28"/>
                <w:szCs w:val="28"/>
                <w:lang w:val="pt-BR"/>
              </w:rPr>
            </w:pPr>
            <w:r w:rsidRPr="00CB4CB7">
              <w:rPr>
                <w:spacing w:val="-4"/>
                <w:sz w:val="28"/>
                <w:szCs w:val="28"/>
                <w:lang w:val="pt-BR"/>
              </w:rPr>
              <w:t>04</w:t>
            </w:r>
          </w:p>
        </w:tc>
        <w:tc>
          <w:tcPr>
            <w:tcW w:w="2114" w:type="dxa"/>
            <w:vAlign w:val="center"/>
          </w:tcPr>
          <w:p w:rsidR="00122972" w:rsidRPr="00CB4CB7" w:rsidRDefault="00122972" w:rsidP="00E45C31">
            <w:pPr>
              <w:rPr>
                <w:spacing w:val="-4"/>
                <w:sz w:val="28"/>
                <w:szCs w:val="28"/>
                <w:lang w:val="pt-BR"/>
              </w:rPr>
            </w:pPr>
            <w:r w:rsidRPr="00CB4CB7">
              <w:rPr>
                <w:spacing w:val="-4"/>
                <w:sz w:val="28"/>
                <w:szCs w:val="28"/>
                <w:lang w:val="pt-BR"/>
              </w:rPr>
              <w:t xml:space="preserve">Kinh phí đền bù GPMB để thực hiện KCH kênh mương; công trình thủy lợi nhỏ; công trình tưới tiên tiến, tiết kiệm nước </w:t>
            </w:r>
          </w:p>
        </w:tc>
        <w:tc>
          <w:tcPr>
            <w:tcW w:w="1730" w:type="dxa"/>
            <w:vAlign w:val="center"/>
          </w:tcPr>
          <w:p w:rsidR="00122972" w:rsidRPr="00CB4CB7" w:rsidRDefault="00122972" w:rsidP="00E45C31">
            <w:pPr>
              <w:jc w:val="center"/>
              <w:rPr>
                <w:spacing w:val="-4"/>
                <w:sz w:val="28"/>
                <w:szCs w:val="28"/>
                <w:lang w:val="es-ES"/>
              </w:rPr>
            </w:pPr>
            <w:r w:rsidRPr="00CB4CB7">
              <w:rPr>
                <w:spacing w:val="-4"/>
                <w:sz w:val="28"/>
                <w:szCs w:val="28"/>
                <w:lang w:val="es-ES"/>
              </w:rPr>
              <w:t>0%</w:t>
            </w:r>
          </w:p>
        </w:tc>
        <w:tc>
          <w:tcPr>
            <w:tcW w:w="2268" w:type="dxa"/>
            <w:vAlign w:val="center"/>
          </w:tcPr>
          <w:p w:rsidR="00122972" w:rsidRPr="00CB4CB7" w:rsidRDefault="00122972" w:rsidP="00E45C31">
            <w:pPr>
              <w:jc w:val="center"/>
              <w:rPr>
                <w:spacing w:val="-4"/>
                <w:sz w:val="28"/>
                <w:szCs w:val="28"/>
              </w:rPr>
            </w:pPr>
            <w:r w:rsidRPr="00CB4CB7">
              <w:rPr>
                <w:spacing w:val="-4"/>
                <w:sz w:val="28"/>
                <w:szCs w:val="28"/>
              </w:rPr>
              <w:t>0%</w:t>
            </w:r>
          </w:p>
        </w:tc>
        <w:tc>
          <w:tcPr>
            <w:tcW w:w="1701" w:type="dxa"/>
          </w:tcPr>
          <w:p w:rsidR="00122972" w:rsidRPr="00CB4CB7" w:rsidRDefault="00122972" w:rsidP="00E45C31">
            <w:pPr>
              <w:jc w:val="center"/>
              <w:rPr>
                <w:b/>
                <w:spacing w:val="-4"/>
                <w:sz w:val="28"/>
                <w:szCs w:val="28"/>
              </w:rPr>
            </w:pPr>
          </w:p>
          <w:p w:rsidR="00122972" w:rsidRPr="00CB4CB7" w:rsidRDefault="00122972" w:rsidP="00E45C31">
            <w:pPr>
              <w:jc w:val="center"/>
              <w:rPr>
                <w:b/>
                <w:spacing w:val="-4"/>
                <w:sz w:val="28"/>
                <w:szCs w:val="28"/>
              </w:rPr>
            </w:pPr>
          </w:p>
          <w:p w:rsidR="00122972" w:rsidRPr="00CB4CB7" w:rsidRDefault="00122972" w:rsidP="00E45C31">
            <w:pPr>
              <w:jc w:val="center"/>
              <w:rPr>
                <w:b/>
                <w:spacing w:val="-4"/>
                <w:sz w:val="28"/>
                <w:szCs w:val="28"/>
              </w:rPr>
            </w:pPr>
          </w:p>
          <w:p w:rsidR="00122972" w:rsidRPr="00CB4CB7" w:rsidRDefault="00122972" w:rsidP="00E45C31">
            <w:pPr>
              <w:jc w:val="center"/>
              <w:rPr>
                <w:spacing w:val="-4"/>
                <w:sz w:val="28"/>
                <w:szCs w:val="28"/>
              </w:rPr>
            </w:pPr>
            <w:r w:rsidRPr="00CB4CB7">
              <w:rPr>
                <w:spacing w:val="-4"/>
                <w:sz w:val="28"/>
                <w:szCs w:val="28"/>
              </w:rPr>
              <w:t>100%</w:t>
            </w:r>
          </w:p>
        </w:tc>
        <w:tc>
          <w:tcPr>
            <w:tcW w:w="708" w:type="dxa"/>
          </w:tcPr>
          <w:p w:rsidR="00122972" w:rsidRPr="00CB4CB7" w:rsidRDefault="00122972" w:rsidP="00E45C31">
            <w:pPr>
              <w:jc w:val="center"/>
              <w:rPr>
                <w:b/>
                <w:spacing w:val="-4"/>
                <w:sz w:val="28"/>
                <w:szCs w:val="28"/>
              </w:rPr>
            </w:pPr>
          </w:p>
        </w:tc>
      </w:tr>
    </w:tbl>
    <w:p w:rsidR="00E45C31" w:rsidRDefault="00E45C31" w:rsidP="00E45C31">
      <w:pPr>
        <w:tabs>
          <w:tab w:val="left" w:pos="454"/>
          <w:tab w:val="left" w:pos="567"/>
          <w:tab w:val="left" w:pos="680"/>
          <w:tab w:val="left" w:pos="794"/>
        </w:tabs>
        <w:spacing w:before="120"/>
        <w:ind w:firstLine="709"/>
        <w:jc w:val="both"/>
        <w:rPr>
          <w:spacing w:val="-4"/>
          <w:sz w:val="28"/>
          <w:szCs w:val="28"/>
          <w:lang w:val="es-ES"/>
        </w:rPr>
      </w:pPr>
    </w:p>
    <w:p w:rsidR="00F86CB1" w:rsidRPr="00E45C31" w:rsidRDefault="007B445E" w:rsidP="00E45C31">
      <w:pPr>
        <w:tabs>
          <w:tab w:val="left" w:pos="454"/>
          <w:tab w:val="left" w:pos="567"/>
          <w:tab w:val="left" w:pos="680"/>
          <w:tab w:val="left" w:pos="794"/>
        </w:tabs>
        <w:spacing w:before="120"/>
        <w:ind w:firstLine="709"/>
        <w:jc w:val="both"/>
        <w:rPr>
          <w:b/>
          <w:sz w:val="28"/>
          <w:szCs w:val="28"/>
        </w:rPr>
      </w:pPr>
      <w:r w:rsidRPr="00E45C31">
        <w:rPr>
          <w:b/>
          <w:spacing w:val="-4"/>
          <w:sz w:val="28"/>
          <w:szCs w:val="28"/>
          <w:lang w:val="es-ES"/>
        </w:rPr>
        <w:lastRenderedPageBreak/>
        <w:t>2.</w:t>
      </w:r>
      <w:r w:rsidR="00EE0BE9" w:rsidRPr="00E45C31">
        <w:rPr>
          <w:b/>
          <w:spacing w:val="-4"/>
          <w:sz w:val="28"/>
          <w:szCs w:val="28"/>
          <w:lang w:val="es-ES"/>
        </w:rPr>
        <w:t xml:space="preserve"> </w:t>
      </w:r>
      <w:r w:rsidR="00EA7B4C" w:rsidRPr="00E45C31">
        <w:rPr>
          <w:b/>
          <w:spacing w:val="-4"/>
          <w:sz w:val="28"/>
          <w:szCs w:val="28"/>
          <w:lang w:val="es-ES"/>
        </w:rPr>
        <w:t xml:space="preserve">Đối với </w:t>
      </w:r>
      <w:r w:rsidR="00EE0BE9" w:rsidRPr="00E45C31">
        <w:rPr>
          <w:b/>
          <w:spacing w:val="-4"/>
          <w:sz w:val="28"/>
          <w:szCs w:val="28"/>
          <w:lang w:val="es-ES"/>
        </w:rPr>
        <w:t xml:space="preserve">Nghị quyết </w:t>
      </w:r>
      <w:r w:rsidR="00EE0BE9" w:rsidRPr="00E45C31">
        <w:rPr>
          <w:b/>
          <w:sz w:val="28"/>
          <w:szCs w:val="28"/>
        </w:rPr>
        <w:t>số 269/NQ-HĐND ngày 04/10/2021</w:t>
      </w:r>
      <w:r w:rsidR="00EE0BE9" w:rsidRPr="00E45C31">
        <w:rPr>
          <w:b/>
          <w:i/>
          <w:sz w:val="28"/>
          <w:szCs w:val="28"/>
        </w:rPr>
        <w:t xml:space="preserve"> </w:t>
      </w:r>
    </w:p>
    <w:p w:rsidR="00B65AEB" w:rsidRDefault="007B445E" w:rsidP="00E45C31">
      <w:pPr>
        <w:spacing w:before="120"/>
        <w:ind w:firstLine="709"/>
        <w:jc w:val="both"/>
        <w:rPr>
          <w:sz w:val="28"/>
          <w:szCs w:val="28"/>
        </w:rPr>
      </w:pPr>
      <w:r w:rsidRPr="00CB4CB7">
        <w:rPr>
          <w:sz w:val="28"/>
          <w:szCs w:val="28"/>
        </w:rPr>
        <w:t>-</w:t>
      </w:r>
      <w:r w:rsidR="00D62C74" w:rsidRPr="00CB4CB7">
        <w:rPr>
          <w:sz w:val="28"/>
          <w:szCs w:val="28"/>
        </w:rPr>
        <w:t xml:space="preserve"> Đối với các xã, phường có nguồn thu từ khai thác quỹ đất lẻ, hợp thức hóa đất ở và chuyển mục đích sử dụng đất hạn chế, không đủ điều kiện để đầu tư thực hiện các dự án (gồm các xã, phường: Phước Hòa, Tam Thăng, Tam Thanh)</w:t>
      </w:r>
    </w:p>
    <w:p w:rsidR="005E1FA8" w:rsidRDefault="007B445E" w:rsidP="00E45C31">
      <w:pPr>
        <w:spacing w:before="120"/>
        <w:ind w:firstLine="709"/>
        <w:jc w:val="both"/>
        <w:rPr>
          <w:sz w:val="28"/>
          <w:szCs w:val="28"/>
        </w:rPr>
      </w:pPr>
      <w:r w:rsidRPr="00CB4CB7">
        <w:rPr>
          <w:sz w:val="28"/>
          <w:szCs w:val="28"/>
        </w:rPr>
        <w:t>+</w:t>
      </w:r>
      <w:r w:rsidR="00D62C74" w:rsidRPr="00CB4CB7">
        <w:rPr>
          <w:sz w:val="28"/>
          <w:szCs w:val="28"/>
        </w:rPr>
        <w:t xml:space="preserve"> Dự án có thực hiện xã hội hóa bồi thường, giải phóng mặt bằng: ngân sách thành phố hỗ trợ 100% tổng mức đầu tư công trình, trong đó nguồn thu tiền sử dụng đất lẻ, thu hợp thức hóa đất ở và chuyển mục đích sử dụng đất trên địa bàn xã, phường 25%. </w:t>
      </w:r>
    </w:p>
    <w:p w:rsidR="00D62C74" w:rsidRPr="00CB4CB7" w:rsidRDefault="007B445E" w:rsidP="00E45C31">
      <w:pPr>
        <w:spacing w:before="120"/>
        <w:ind w:firstLine="709"/>
        <w:jc w:val="both"/>
        <w:rPr>
          <w:sz w:val="28"/>
          <w:szCs w:val="28"/>
        </w:rPr>
      </w:pPr>
      <w:r w:rsidRPr="00CB4CB7">
        <w:rPr>
          <w:b/>
          <w:i/>
          <w:sz w:val="28"/>
          <w:szCs w:val="28"/>
        </w:rPr>
        <w:t>+</w:t>
      </w:r>
      <w:r w:rsidR="00D62C74" w:rsidRPr="00CB4CB7">
        <w:rPr>
          <w:b/>
          <w:i/>
          <w:sz w:val="28"/>
          <w:szCs w:val="28"/>
        </w:rPr>
        <w:t xml:space="preserve"> </w:t>
      </w:r>
      <w:r w:rsidR="00D62C74" w:rsidRPr="00CB4CB7">
        <w:rPr>
          <w:sz w:val="28"/>
          <w:szCs w:val="28"/>
        </w:rPr>
        <w:t>Dự án không thực hiện xã hội hóa bồi thường, giải phóng mặt bằng: ngân sách thành phố hỗ trợ 95% tổng mức đầu tư công trình, trong đó nguồn thu tiền sử dụng đất lẻ, thu hợp thức hóa đất ở và chuyển mục đích sử dụng đất trên địa bàn xã, phường 20%; huy động đóng góp của nhân dân và các nguồn vốn huy động hợp pháp khác 5%.</w:t>
      </w:r>
    </w:p>
    <w:p w:rsidR="00245E05" w:rsidRDefault="007B445E" w:rsidP="00E45C31">
      <w:pPr>
        <w:spacing w:before="120"/>
        <w:ind w:firstLine="709"/>
        <w:jc w:val="both"/>
        <w:rPr>
          <w:sz w:val="28"/>
          <w:szCs w:val="28"/>
        </w:rPr>
      </w:pPr>
      <w:r w:rsidRPr="00CB4CB7">
        <w:rPr>
          <w:sz w:val="28"/>
          <w:szCs w:val="28"/>
        </w:rPr>
        <w:t>-</w:t>
      </w:r>
      <w:r w:rsidR="00D62C74" w:rsidRPr="00CB4CB7">
        <w:rPr>
          <w:sz w:val="28"/>
          <w:szCs w:val="28"/>
        </w:rPr>
        <w:t xml:space="preserve"> Đối với các xã, phường còn lại:</w:t>
      </w:r>
    </w:p>
    <w:p w:rsidR="00245E05" w:rsidRDefault="007B445E" w:rsidP="00E45C31">
      <w:pPr>
        <w:spacing w:before="120"/>
        <w:ind w:firstLine="709"/>
        <w:jc w:val="both"/>
        <w:rPr>
          <w:sz w:val="28"/>
          <w:szCs w:val="28"/>
        </w:rPr>
      </w:pPr>
      <w:r w:rsidRPr="00CB4CB7">
        <w:rPr>
          <w:sz w:val="28"/>
          <w:szCs w:val="28"/>
        </w:rPr>
        <w:t>+</w:t>
      </w:r>
      <w:r w:rsidR="00D62C74" w:rsidRPr="00CB4CB7">
        <w:rPr>
          <w:sz w:val="28"/>
          <w:szCs w:val="28"/>
        </w:rPr>
        <w:t xml:space="preserve"> Dự án có thực hiện xã hội hóa bồi thường, giải phóng mặt bằng, ngân sách thành phố hỗ trợ 100% tổng mức đầu tư công trình, trong đó nguồn thu tiền sử dụng đất lẻ, thu hợp thức hóa đất ở và chuyển mục đích sử dụng đất trên địa bàn xã, phường 40%.</w:t>
      </w:r>
    </w:p>
    <w:p w:rsidR="001C2317" w:rsidRPr="00CB4CB7" w:rsidRDefault="007B445E" w:rsidP="00E45C31">
      <w:pPr>
        <w:spacing w:before="120"/>
        <w:ind w:firstLine="709"/>
        <w:jc w:val="both"/>
        <w:rPr>
          <w:sz w:val="28"/>
          <w:szCs w:val="28"/>
        </w:rPr>
      </w:pPr>
      <w:r w:rsidRPr="00CB4CB7">
        <w:rPr>
          <w:i/>
          <w:sz w:val="28"/>
          <w:szCs w:val="28"/>
        </w:rPr>
        <w:t>+</w:t>
      </w:r>
      <w:r w:rsidR="00D62C74" w:rsidRPr="00CB4CB7">
        <w:rPr>
          <w:sz w:val="28"/>
          <w:szCs w:val="28"/>
        </w:rPr>
        <w:t>Dự án không thực hiện xã hội hóa bồi thường, giải phóng mặt bằng, ngân sách thành phố hỗ trợ hỗ trợ 95% tổng mức đầu tư công trình, trong đó nguồn thu tiền sử dụng đất lẻ, thu hợp thức hóa đất ở và chuyển mục đích sử dụng đất trên địa bàn xã, phường 35%; huy động đóng góp của nhân dân và các nguồn vốn huy động hợp pháp khác 5%.</w:t>
      </w:r>
    </w:p>
    <w:p w:rsidR="001C2317" w:rsidRPr="00AD0E20" w:rsidRDefault="00A26A1F" w:rsidP="00E45C31">
      <w:pPr>
        <w:tabs>
          <w:tab w:val="left" w:pos="454"/>
          <w:tab w:val="left" w:pos="567"/>
          <w:tab w:val="left" w:pos="680"/>
          <w:tab w:val="left" w:pos="794"/>
        </w:tabs>
        <w:spacing w:before="120"/>
        <w:ind w:firstLine="567"/>
        <w:jc w:val="both"/>
        <w:rPr>
          <w:sz w:val="28"/>
          <w:szCs w:val="28"/>
        </w:rPr>
      </w:pPr>
      <w:r>
        <w:rPr>
          <w:noProof/>
          <w:sz w:val="28"/>
          <w:szCs w:val="28"/>
          <w:lang w:val="nl-NL"/>
        </w:rPr>
        <w:tab/>
      </w:r>
      <w:r w:rsidR="007B445E" w:rsidRPr="00CB4CB7">
        <w:rPr>
          <w:noProof/>
          <w:sz w:val="28"/>
          <w:szCs w:val="28"/>
          <w:lang w:val="nl-NL"/>
        </w:rPr>
        <w:t xml:space="preserve">3. </w:t>
      </w:r>
      <w:r w:rsidR="00122559" w:rsidRPr="00CB4CB7">
        <w:rPr>
          <w:noProof/>
          <w:sz w:val="28"/>
          <w:szCs w:val="28"/>
          <w:lang w:val="nl-NL"/>
        </w:rPr>
        <w:t xml:space="preserve">Những nội dung khác không thuộc nội dung điều chỉnh, thực hiện theo </w:t>
      </w:r>
      <w:r w:rsidR="00122559" w:rsidRPr="00CB4CB7">
        <w:rPr>
          <w:sz w:val="28"/>
          <w:szCs w:val="28"/>
        </w:rPr>
        <w:t>Nghị quyết số 193/NQ-HĐND ngày 21/7/2021 và Nghị quyết số 269/NQ-HĐND ngày 04/10/2021 của HĐND thành phố.</w:t>
      </w:r>
    </w:p>
    <w:p w:rsidR="007B445E" w:rsidRPr="00CB4CB7" w:rsidRDefault="007B445E" w:rsidP="00E45C31">
      <w:pPr>
        <w:pStyle w:val="NormalWeb"/>
        <w:spacing w:before="120" w:beforeAutospacing="0" w:after="0" w:afterAutospacing="0"/>
        <w:ind w:firstLine="720"/>
        <w:jc w:val="both"/>
        <w:rPr>
          <w:sz w:val="28"/>
          <w:szCs w:val="28"/>
        </w:rPr>
      </w:pPr>
      <w:r w:rsidRPr="00CB4CB7">
        <w:rPr>
          <w:b/>
          <w:sz w:val="28"/>
          <w:szCs w:val="28"/>
        </w:rPr>
        <w:t>Điều 2. Tổ chức thực hiện</w:t>
      </w:r>
    </w:p>
    <w:p w:rsidR="007B445E" w:rsidRPr="00CB4CB7" w:rsidRDefault="007B445E" w:rsidP="00E45C31">
      <w:pPr>
        <w:spacing w:before="120"/>
        <w:ind w:firstLine="720"/>
        <w:jc w:val="both"/>
        <w:rPr>
          <w:sz w:val="28"/>
          <w:szCs w:val="28"/>
        </w:rPr>
      </w:pPr>
      <w:r w:rsidRPr="00CB4CB7">
        <w:rPr>
          <w:sz w:val="28"/>
          <w:szCs w:val="28"/>
        </w:rPr>
        <w:t>1. Giao UBND thành phố triển khai thực hiện Nghị quyết. Trong quá trình thực hiện, trường hợp có vướng mắc, phát sinh cần điều chỉnh, bổ sung, UBND thành phố báo cáo, thống nhất với Thường trực HĐND thành phố và báo cáo Hội đồng nhân dân thành phố tại cuộc họp gần nhất.</w:t>
      </w:r>
    </w:p>
    <w:p w:rsidR="007B445E" w:rsidRPr="00CB4CB7" w:rsidRDefault="007B445E" w:rsidP="00E45C31">
      <w:pPr>
        <w:pStyle w:val="NormalWeb"/>
        <w:spacing w:before="120" w:beforeAutospacing="0" w:after="0" w:afterAutospacing="0"/>
        <w:ind w:firstLine="720"/>
        <w:jc w:val="both"/>
        <w:rPr>
          <w:bCs/>
          <w:sz w:val="28"/>
          <w:szCs w:val="28"/>
        </w:rPr>
      </w:pPr>
      <w:r w:rsidRPr="00CB4CB7">
        <w:rPr>
          <w:bCs/>
          <w:sz w:val="28"/>
          <w:szCs w:val="28"/>
        </w:rPr>
        <w:t>2. Thường trực Hội đồng nhân dân, các Ban của Hội đồng nhân dân và đại biểu Hội đồng nhân dân thành phố theo dõi, giám sát việc thực hiện Nghị quyết.</w:t>
      </w:r>
    </w:p>
    <w:p w:rsidR="007B445E" w:rsidRPr="00CA06F0" w:rsidRDefault="00AD0E20" w:rsidP="00CA06F0">
      <w:pPr>
        <w:tabs>
          <w:tab w:val="left" w:pos="3855"/>
        </w:tabs>
        <w:rPr>
          <w:sz w:val="28"/>
          <w:szCs w:val="28"/>
          <w:lang w:val="nl-NL"/>
        </w:rPr>
      </w:pPr>
      <w:r w:rsidRPr="00CB4CB7">
        <w:rPr>
          <w:noProof/>
          <w:sz w:val="28"/>
          <w:szCs w:val="28"/>
        </w:rPr>
        <mc:AlternateContent>
          <mc:Choice Requires="wps">
            <w:drawing>
              <wp:anchor distT="0" distB="0" distL="114300" distR="114300" simplePos="0" relativeHeight="251675648" behindDoc="0" locked="0" layoutInCell="1" allowOverlap="1" wp14:anchorId="7EB0957E" wp14:editId="5763FC3B">
                <wp:simplePos x="0" y="0"/>
                <wp:positionH relativeFrom="column">
                  <wp:posOffset>1663065</wp:posOffset>
                </wp:positionH>
                <wp:positionV relativeFrom="paragraph">
                  <wp:posOffset>130175</wp:posOffset>
                </wp:positionV>
                <wp:extent cx="2362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5pt,10.25pt" to="316.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VHAIAADYEAAAOAAAAZHJzL2Uyb0RvYy54bWysU8uu2jAU3FfqP1jeQx4XKE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"/>
            </w:pict>
          </mc:Fallback>
        </mc:AlternateContent>
      </w:r>
    </w:p>
    <w:p w:rsidR="007B445E" w:rsidRPr="00CB4CB7" w:rsidRDefault="007B445E" w:rsidP="00CB4CB7">
      <w:pPr>
        <w:ind w:firstLine="720"/>
        <w:jc w:val="both"/>
        <w:rPr>
          <w:i/>
          <w:sz w:val="28"/>
          <w:szCs w:val="28"/>
          <w:lang w:val="pt-BR"/>
        </w:rPr>
      </w:pPr>
      <w:r w:rsidRPr="00CB4CB7">
        <w:rPr>
          <w:i/>
          <w:sz w:val="28"/>
          <w:szCs w:val="28"/>
          <w:lang w:val="pt-BR"/>
        </w:rPr>
        <w:t>Nghị quyết này đã được Hội đồng nhân dân thành phố Tam Kỳ khoá XII, nhiệm kỳ 2021 - 2026, kỳ họp thứ 4 thông qua ngày</w:t>
      </w:r>
      <w:r w:rsidR="00440F9A">
        <w:rPr>
          <w:i/>
          <w:sz w:val="28"/>
          <w:szCs w:val="28"/>
          <w:lang w:val="pt-BR"/>
        </w:rPr>
        <w:t xml:space="preserve"> 17</w:t>
      </w:r>
      <w:r w:rsidRPr="00CB4CB7">
        <w:rPr>
          <w:i/>
          <w:sz w:val="28"/>
          <w:szCs w:val="28"/>
          <w:lang w:val="pt-BR"/>
        </w:rPr>
        <w:t xml:space="preserve"> tháng 12 năm 20</w:t>
      </w:r>
      <w:r w:rsidRPr="00CB4CB7">
        <w:rPr>
          <w:i/>
          <w:sz w:val="28"/>
          <w:szCs w:val="28"/>
          <w:lang w:val="vi-VN"/>
        </w:rPr>
        <w:t>2</w:t>
      </w:r>
      <w:r w:rsidRPr="00CB4CB7">
        <w:rPr>
          <w:i/>
          <w:sz w:val="28"/>
          <w:szCs w:val="28"/>
        </w:rPr>
        <w:t>1</w:t>
      </w:r>
      <w:r w:rsidRPr="00CB4CB7">
        <w:rPr>
          <w:i/>
          <w:sz w:val="28"/>
          <w:szCs w:val="28"/>
          <w:lang w:val="pt-BR"/>
        </w:rPr>
        <w:t>./.</w:t>
      </w:r>
    </w:p>
    <w:p w:rsidR="00CA06F0" w:rsidRPr="00950FDB" w:rsidRDefault="00CA06F0" w:rsidP="00CA06F0">
      <w:pPr>
        <w:jc w:val="both"/>
        <w:rPr>
          <w:b/>
          <w:i/>
        </w:rPr>
      </w:pPr>
      <w:r w:rsidRPr="00950FDB">
        <w:rPr>
          <w:b/>
          <w:i/>
        </w:rPr>
        <w:t>Nơi nhận:</w:t>
      </w:r>
      <w:r>
        <w:rPr>
          <w:b/>
          <w:i/>
        </w:rPr>
        <w:t xml:space="preserve">                                                                                        </w:t>
      </w:r>
      <w:r w:rsidRPr="00CB4CB7">
        <w:rPr>
          <w:b/>
          <w:sz w:val="28"/>
          <w:szCs w:val="28"/>
        </w:rPr>
        <w:t>CHỦ TỊCH</w:t>
      </w:r>
    </w:p>
    <w:p w:rsidR="00CA06F0" w:rsidRPr="00950FDB" w:rsidRDefault="00CA06F0" w:rsidP="00CA06F0">
      <w:pPr>
        <w:jc w:val="both"/>
        <w:rPr>
          <w:sz w:val="22"/>
          <w:szCs w:val="22"/>
        </w:rPr>
      </w:pPr>
      <w:r>
        <w:rPr>
          <w:sz w:val="22"/>
          <w:szCs w:val="22"/>
        </w:rPr>
        <w:t>- Thường trực HĐND, UBND tỉnh (B/c);</w:t>
      </w:r>
    </w:p>
    <w:p w:rsidR="00CA06F0" w:rsidRPr="00950FDB" w:rsidRDefault="00CA06F0" w:rsidP="00CA06F0">
      <w:pPr>
        <w:jc w:val="both"/>
        <w:rPr>
          <w:sz w:val="22"/>
          <w:szCs w:val="22"/>
        </w:rPr>
      </w:pPr>
      <w:r>
        <w:rPr>
          <w:sz w:val="22"/>
          <w:szCs w:val="22"/>
        </w:rPr>
        <w:t>- Các Ban HĐND tỉnh (B/c);</w:t>
      </w:r>
    </w:p>
    <w:p w:rsidR="00CA06F0" w:rsidRPr="00950FDB" w:rsidRDefault="00CA06F0" w:rsidP="00CA06F0">
      <w:pPr>
        <w:jc w:val="both"/>
        <w:rPr>
          <w:sz w:val="22"/>
          <w:szCs w:val="22"/>
        </w:rPr>
      </w:pPr>
      <w:r w:rsidRPr="00950FDB">
        <w:rPr>
          <w:sz w:val="22"/>
          <w:szCs w:val="22"/>
        </w:rPr>
        <w:t>- Đại biểu HĐND tỉnh khu vực Tam Kỳ;</w:t>
      </w:r>
    </w:p>
    <w:p w:rsidR="00CA06F0" w:rsidRPr="00950FDB" w:rsidRDefault="00CA06F0" w:rsidP="00CA06F0">
      <w:pPr>
        <w:jc w:val="both"/>
        <w:rPr>
          <w:sz w:val="22"/>
          <w:szCs w:val="22"/>
        </w:rPr>
      </w:pPr>
      <w:r w:rsidRPr="00950FDB">
        <w:rPr>
          <w:sz w:val="22"/>
          <w:szCs w:val="22"/>
        </w:rPr>
        <w:t xml:space="preserve">- TVTU, </w:t>
      </w:r>
      <w:r>
        <w:rPr>
          <w:sz w:val="22"/>
          <w:szCs w:val="22"/>
        </w:rPr>
        <w:t>TT HĐND, UBND, UB</w:t>
      </w:r>
      <w:r w:rsidRPr="00950FDB">
        <w:rPr>
          <w:sz w:val="22"/>
          <w:szCs w:val="22"/>
        </w:rPr>
        <w:t>MTTQ thành phố;</w:t>
      </w:r>
    </w:p>
    <w:p w:rsidR="00CA06F0" w:rsidRPr="00950FDB" w:rsidRDefault="00CA06F0" w:rsidP="00CA06F0">
      <w:pPr>
        <w:jc w:val="both"/>
        <w:rPr>
          <w:sz w:val="22"/>
          <w:szCs w:val="22"/>
        </w:rPr>
      </w:pPr>
      <w:r w:rsidRPr="00950FDB">
        <w:rPr>
          <w:sz w:val="22"/>
          <w:szCs w:val="22"/>
        </w:rPr>
        <w:t>- Đại biểu HĐND thành phố;</w:t>
      </w:r>
    </w:p>
    <w:p w:rsidR="00CA06F0" w:rsidRPr="00950FDB" w:rsidRDefault="00CA06F0" w:rsidP="00CA06F0">
      <w:pPr>
        <w:jc w:val="both"/>
        <w:rPr>
          <w:sz w:val="22"/>
          <w:szCs w:val="22"/>
        </w:rPr>
      </w:pPr>
      <w:r>
        <w:rPr>
          <w:sz w:val="22"/>
          <w:szCs w:val="22"/>
        </w:rPr>
        <w:t>- Các phòng, ban, đơn vị</w:t>
      </w:r>
      <w:r w:rsidRPr="00950FDB">
        <w:rPr>
          <w:sz w:val="22"/>
          <w:szCs w:val="22"/>
        </w:rPr>
        <w:t xml:space="preserve"> thành phố;</w:t>
      </w:r>
    </w:p>
    <w:p w:rsidR="00CA06F0" w:rsidRPr="00950FDB" w:rsidRDefault="00CA06F0" w:rsidP="00CA06F0">
      <w:pPr>
        <w:jc w:val="both"/>
        <w:rPr>
          <w:sz w:val="22"/>
          <w:szCs w:val="22"/>
        </w:rPr>
      </w:pPr>
      <w:r>
        <w:rPr>
          <w:sz w:val="22"/>
          <w:szCs w:val="22"/>
        </w:rPr>
        <w:t>- Đảng ủy, HĐND, UBND, UBMT</w:t>
      </w:r>
      <w:r w:rsidRPr="00950FDB">
        <w:rPr>
          <w:sz w:val="22"/>
          <w:szCs w:val="22"/>
        </w:rPr>
        <w:t xml:space="preserve"> các xã, phường;</w:t>
      </w:r>
    </w:p>
    <w:p w:rsidR="00CA06F0" w:rsidRPr="00950FDB" w:rsidRDefault="00CA06F0" w:rsidP="00CA06F0">
      <w:pPr>
        <w:jc w:val="both"/>
        <w:rPr>
          <w:sz w:val="22"/>
          <w:szCs w:val="22"/>
        </w:rPr>
      </w:pPr>
      <w:r w:rsidRPr="00950FDB">
        <w:rPr>
          <w:sz w:val="22"/>
          <w:szCs w:val="22"/>
        </w:rPr>
        <w:t>- Lưu: VT.</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CB4CB7">
        <w:rPr>
          <w:b/>
          <w:sz w:val="28"/>
          <w:szCs w:val="28"/>
        </w:rPr>
        <w:t>Trần Nam Hưng</w:t>
      </w:r>
      <w:bookmarkStart w:id="0" w:name="_GoBack"/>
      <w:bookmarkEnd w:id="0"/>
    </w:p>
    <w:sectPr w:rsidR="00CA06F0" w:rsidRPr="00950FDB" w:rsidSect="00086704">
      <w:pgSz w:w="11907" w:h="16840" w:code="9"/>
      <w:pgMar w:top="1134" w:right="1021" w:bottom="28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pani">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03491"/>
    <w:multiLevelType w:val="hybridMultilevel"/>
    <w:tmpl w:val="215C24B6"/>
    <w:lvl w:ilvl="0" w:tplc="23E452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844"/>
    <w:rsid w:val="00086704"/>
    <w:rsid w:val="000C6A7B"/>
    <w:rsid w:val="000D7FA5"/>
    <w:rsid w:val="000F5468"/>
    <w:rsid w:val="000F5C2E"/>
    <w:rsid w:val="00114D47"/>
    <w:rsid w:val="00122559"/>
    <w:rsid w:val="00122972"/>
    <w:rsid w:val="0014099A"/>
    <w:rsid w:val="00163B25"/>
    <w:rsid w:val="001C2317"/>
    <w:rsid w:val="00206D7A"/>
    <w:rsid w:val="00210F8C"/>
    <w:rsid w:val="00242480"/>
    <w:rsid w:val="00245E05"/>
    <w:rsid w:val="00287AB2"/>
    <w:rsid w:val="002C4D38"/>
    <w:rsid w:val="002C6BF7"/>
    <w:rsid w:val="002F1290"/>
    <w:rsid w:val="0030196F"/>
    <w:rsid w:val="003326A9"/>
    <w:rsid w:val="003A1B3C"/>
    <w:rsid w:val="003A7159"/>
    <w:rsid w:val="003C6064"/>
    <w:rsid w:val="00440F9A"/>
    <w:rsid w:val="00441576"/>
    <w:rsid w:val="00444AA7"/>
    <w:rsid w:val="004871A3"/>
    <w:rsid w:val="004B4BE7"/>
    <w:rsid w:val="004B6495"/>
    <w:rsid w:val="00591A3D"/>
    <w:rsid w:val="00591EFC"/>
    <w:rsid w:val="00594F5D"/>
    <w:rsid w:val="005A5B00"/>
    <w:rsid w:val="005E1FA8"/>
    <w:rsid w:val="00634A6E"/>
    <w:rsid w:val="00726685"/>
    <w:rsid w:val="00780A07"/>
    <w:rsid w:val="007B445E"/>
    <w:rsid w:val="007D4C2E"/>
    <w:rsid w:val="008334E5"/>
    <w:rsid w:val="00843D7B"/>
    <w:rsid w:val="00856F02"/>
    <w:rsid w:val="00862F87"/>
    <w:rsid w:val="0089557B"/>
    <w:rsid w:val="008A2EC9"/>
    <w:rsid w:val="009318BB"/>
    <w:rsid w:val="00935255"/>
    <w:rsid w:val="00950FDB"/>
    <w:rsid w:val="00965844"/>
    <w:rsid w:val="009A1DB2"/>
    <w:rsid w:val="009C610B"/>
    <w:rsid w:val="00A053CE"/>
    <w:rsid w:val="00A26A1F"/>
    <w:rsid w:val="00A74A3F"/>
    <w:rsid w:val="00A92C08"/>
    <w:rsid w:val="00AD0E20"/>
    <w:rsid w:val="00B01F88"/>
    <w:rsid w:val="00B32E30"/>
    <w:rsid w:val="00B65AEB"/>
    <w:rsid w:val="00B77F15"/>
    <w:rsid w:val="00BE4A41"/>
    <w:rsid w:val="00BE61A1"/>
    <w:rsid w:val="00BF155A"/>
    <w:rsid w:val="00BF15BF"/>
    <w:rsid w:val="00C22EE2"/>
    <w:rsid w:val="00C25623"/>
    <w:rsid w:val="00C65548"/>
    <w:rsid w:val="00CA06F0"/>
    <w:rsid w:val="00CB4CB7"/>
    <w:rsid w:val="00D35E47"/>
    <w:rsid w:val="00D502D2"/>
    <w:rsid w:val="00D50D51"/>
    <w:rsid w:val="00D62C74"/>
    <w:rsid w:val="00D91D2C"/>
    <w:rsid w:val="00E023D4"/>
    <w:rsid w:val="00E12A1E"/>
    <w:rsid w:val="00E45C31"/>
    <w:rsid w:val="00E91210"/>
    <w:rsid w:val="00EA7B4C"/>
    <w:rsid w:val="00EE0BE9"/>
    <w:rsid w:val="00F5425D"/>
    <w:rsid w:val="00F7686B"/>
    <w:rsid w:val="00F86CB1"/>
    <w:rsid w:val="00FF3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E47"/>
    <w:pPr>
      <w:spacing w:after="0" w:line="240" w:lineRule="auto"/>
    </w:pPr>
    <w:rPr>
      <w:rFonts w:eastAsia="Times New Roman" w:cs="Times New Roman"/>
      <w:sz w:val="24"/>
      <w:szCs w:val="24"/>
    </w:rPr>
  </w:style>
  <w:style w:type="paragraph" w:styleId="Heading3">
    <w:name w:val="heading 3"/>
    <w:basedOn w:val="Normal"/>
    <w:next w:val="Normal"/>
    <w:link w:val="Heading3Char"/>
    <w:qFormat/>
    <w:rsid w:val="00287AB2"/>
    <w:pPr>
      <w:keepNext/>
      <w:jc w:val="both"/>
      <w:outlineLvl w:val="2"/>
    </w:pPr>
    <w:rPr>
      <w:rFonts w:ascii="VNtimpani" w:hAnsi="VNtimpani"/>
      <w:b/>
      <w:sz w:val="20"/>
      <w:szCs w:val="20"/>
    </w:rPr>
  </w:style>
  <w:style w:type="paragraph" w:styleId="Heading4">
    <w:name w:val="heading 4"/>
    <w:basedOn w:val="Normal"/>
    <w:next w:val="Normal"/>
    <w:link w:val="Heading4Char"/>
    <w:uiPriority w:val="9"/>
    <w:unhideWhenUsed/>
    <w:qFormat/>
    <w:rsid w:val="007B445E"/>
    <w:pPr>
      <w:keepNext/>
      <w:keepLines/>
      <w:spacing w:before="40" w:line="276" w:lineRule="auto"/>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semiHidden/>
    <w:unhideWhenUsed/>
    <w:qFormat/>
    <w:rsid w:val="00D91D2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semiHidden/>
    <w:rsid w:val="00D35E47"/>
    <w:pPr>
      <w:spacing w:after="160" w:line="240" w:lineRule="exact"/>
    </w:pPr>
    <w:rPr>
      <w:rFonts w:ascii="Arial" w:hAnsi="Arial"/>
      <w:sz w:val="22"/>
      <w:szCs w:val="22"/>
    </w:rPr>
  </w:style>
  <w:style w:type="paragraph" w:customStyle="1" w:styleId="CharChar1">
    <w:name w:val="Char Char1"/>
    <w:basedOn w:val="Normal"/>
    <w:rsid w:val="009C610B"/>
    <w:pPr>
      <w:spacing w:after="160" w:line="240" w:lineRule="exact"/>
    </w:pPr>
    <w:rPr>
      <w:rFonts w:ascii="Verdana" w:hAnsi="Verdana"/>
      <w:sz w:val="20"/>
      <w:szCs w:val="20"/>
    </w:rPr>
  </w:style>
  <w:style w:type="character" w:customStyle="1" w:styleId="Heading3Char">
    <w:name w:val="Heading 3 Char"/>
    <w:basedOn w:val="DefaultParagraphFont"/>
    <w:link w:val="Heading3"/>
    <w:rsid w:val="00287AB2"/>
    <w:rPr>
      <w:rFonts w:ascii="VNtimpani" w:eastAsia="Times New Roman" w:hAnsi="VNtimpani" w:cs="Times New Roman"/>
      <w:b/>
      <w:sz w:val="20"/>
      <w:szCs w:val="20"/>
    </w:rPr>
  </w:style>
  <w:style w:type="character" w:customStyle="1" w:styleId="Heading5Char">
    <w:name w:val="Heading 5 Char"/>
    <w:basedOn w:val="DefaultParagraphFont"/>
    <w:link w:val="Heading5"/>
    <w:uiPriority w:val="9"/>
    <w:semiHidden/>
    <w:rsid w:val="00D91D2C"/>
    <w:rPr>
      <w:rFonts w:asciiTheme="majorHAnsi" w:eastAsiaTheme="majorEastAsia" w:hAnsiTheme="majorHAnsi" w:cstheme="majorBidi"/>
      <w:color w:val="2E74B5" w:themeColor="accent1" w:themeShade="BF"/>
      <w:sz w:val="24"/>
      <w:szCs w:val="24"/>
    </w:rPr>
  </w:style>
  <w:style w:type="paragraph" w:styleId="BodyText">
    <w:name w:val="Body Text"/>
    <w:aliases w:val="Drawings 8,Text Box,bt,ändrad,body text,BODY TEXT,t,Body Text -p1,Body Text Hn02,Body Text1,Char1 Char Char Char Char Char Char Char Char Char"/>
    <w:basedOn w:val="Normal"/>
    <w:link w:val="BodyTextChar"/>
    <w:rsid w:val="00594F5D"/>
    <w:pPr>
      <w:jc w:val="center"/>
    </w:pPr>
    <w:rPr>
      <w:rFonts w:ascii=".VnTime" w:hAnsi=".VnTime"/>
      <w:b/>
      <w:sz w:val="28"/>
      <w:szCs w:val="20"/>
    </w:rPr>
  </w:style>
  <w:style w:type="character" w:customStyle="1" w:styleId="BodyTextChar">
    <w:name w:val="Body Text Char"/>
    <w:aliases w:val="Drawings 8 Char,Text Box Char,bt Char,ändrad Char,body text Char,BODY TEXT Char,t Char,Body Text -p1 Char,Body Text Hn02 Char,Body Text1 Char,Char1 Char Char Char Char Char Char Char Char Char Char"/>
    <w:basedOn w:val="DefaultParagraphFont"/>
    <w:link w:val="BodyText"/>
    <w:rsid w:val="00594F5D"/>
    <w:rPr>
      <w:rFonts w:ascii=".VnTime" w:eastAsia="Times New Roman" w:hAnsi=".VnTime" w:cs="Times New Roman"/>
      <w:b/>
      <w:szCs w:val="20"/>
    </w:rPr>
  </w:style>
  <w:style w:type="paragraph" w:styleId="BodyTextIndent2">
    <w:name w:val="Body Text Indent 2"/>
    <w:basedOn w:val="Normal"/>
    <w:link w:val="BodyTextIndent2Char"/>
    <w:uiPriority w:val="99"/>
    <w:semiHidden/>
    <w:unhideWhenUsed/>
    <w:rsid w:val="00591EFC"/>
    <w:pPr>
      <w:spacing w:after="120" w:line="480" w:lineRule="auto"/>
      <w:ind w:left="360"/>
    </w:pPr>
  </w:style>
  <w:style w:type="character" w:customStyle="1" w:styleId="BodyTextIndent2Char">
    <w:name w:val="Body Text Indent 2 Char"/>
    <w:basedOn w:val="DefaultParagraphFont"/>
    <w:link w:val="BodyTextIndent2"/>
    <w:uiPriority w:val="99"/>
    <w:semiHidden/>
    <w:rsid w:val="00591EFC"/>
    <w:rPr>
      <w:rFonts w:eastAsia="Times New Roman" w:cs="Times New Roman"/>
      <w:sz w:val="24"/>
      <w:szCs w:val="24"/>
    </w:rPr>
  </w:style>
  <w:style w:type="paragraph" w:styleId="NormalWeb">
    <w:name w:val="Normal (Web)"/>
    <w:basedOn w:val="Normal"/>
    <w:rsid w:val="00591EFC"/>
    <w:pPr>
      <w:spacing w:before="100" w:beforeAutospacing="1" w:after="100" w:afterAutospacing="1"/>
    </w:pPr>
  </w:style>
  <w:style w:type="paragraph" w:styleId="BalloonText">
    <w:name w:val="Balloon Text"/>
    <w:basedOn w:val="Normal"/>
    <w:link w:val="BalloonTextChar"/>
    <w:uiPriority w:val="99"/>
    <w:semiHidden/>
    <w:unhideWhenUsed/>
    <w:rsid w:val="001409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99A"/>
    <w:rPr>
      <w:rFonts w:ascii="Segoe UI" w:eastAsia="Times New Roman" w:hAnsi="Segoe UI" w:cs="Segoe UI"/>
      <w:sz w:val="18"/>
      <w:szCs w:val="18"/>
    </w:rPr>
  </w:style>
  <w:style w:type="paragraph" w:styleId="ListParagraph">
    <w:name w:val="List Paragraph"/>
    <w:basedOn w:val="Normal"/>
    <w:uiPriority w:val="34"/>
    <w:qFormat/>
    <w:rsid w:val="003326A9"/>
    <w:pPr>
      <w:ind w:left="720"/>
      <w:contextualSpacing/>
    </w:pPr>
  </w:style>
  <w:style w:type="paragraph" w:customStyle="1" w:styleId="CharChar">
    <w:name w:val="Char Char"/>
    <w:basedOn w:val="Normal"/>
    <w:rsid w:val="00A92C08"/>
    <w:pPr>
      <w:pageBreakBefore/>
      <w:spacing w:before="100" w:beforeAutospacing="1" w:after="100" w:afterAutospacing="1"/>
      <w:jc w:val="both"/>
    </w:pPr>
    <w:rPr>
      <w:rFonts w:ascii="Tahoma" w:hAnsi="Tahoma"/>
      <w:sz w:val="20"/>
      <w:szCs w:val="20"/>
    </w:rPr>
  </w:style>
  <w:style w:type="paragraph" w:customStyle="1" w:styleId="CharCharCharCharCharCharChar">
    <w:name w:val="Char Char Char Char Char Char Char"/>
    <w:basedOn w:val="Normal"/>
    <w:rsid w:val="00122559"/>
    <w:pPr>
      <w:spacing w:after="160" w:line="240" w:lineRule="exact"/>
    </w:pPr>
    <w:rPr>
      <w:rFonts w:ascii="Verdana" w:hAnsi="Verdana"/>
      <w:sz w:val="20"/>
      <w:szCs w:val="20"/>
    </w:rPr>
  </w:style>
  <w:style w:type="character" w:customStyle="1" w:styleId="Heading4Char">
    <w:name w:val="Heading 4 Char"/>
    <w:basedOn w:val="DefaultParagraphFont"/>
    <w:link w:val="Heading4"/>
    <w:uiPriority w:val="9"/>
    <w:rsid w:val="007B445E"/>
    <w:rPr>
      <w:rFonts w:asciiTheme="majorHAnsi" w:eastAsiaTheme="majorEastAsia" w:hAnsiTheme="majorHAnsi" w:cstheme="majorBidi"/>
      <w:i/>
      <w:iCs/>
      <w:color w:val="2E74B5" w:themeColor="accent1" w:themeShade="BF"/>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E47"/>
    <w:pPr>
      <w:spacing w:after="0" w:line="240" w:lineRule="auto"/>
    </w:pPr>
    <w:rPr>
      <w:rFonts w:eastAsia="Times New Roman" w:cs="Times New Roman"/>
      <w:sz w:val="24"/>
      <w:szCs w:val="24"/>
    </w:rPr>
  </w:style>
  <w:style w:type="paragraph" w:styleId="Heading3">
    <w:name w:val="heading 3"/>
    <w:basedOn w:val="Normal"/>
    <w:next w:val="Normal"/>
    <w:link w:val="Heading3Char"/>
    <w:qFormat/>
    <w:rsid w:val="00287AB2"/>
    <w:pPr>
      <w:keepNext/>
      <w:jc w:val="both"/>
      <w:outlineLvl w:val="2"/>
    </w:pPr>
    <w:rPr>
      <w:rFonts w:ascii="VNtimpani" w:hAnsi="VNtimpani"/>
      <w:b/>
      <w:sz w:val="20"/>
      <w:szCs w:val="20"/>
    </w:rPr>
  </w:style>
  <w:style w:type="paragraph" w:styleId="Heading4">
    <w:name w:val="heading 4"/>
    <w:basedOn w:val="Normal"/>
    <w:next w:val="Normal"/>
    <w:link w:val="Heading4Char"/>
    <w:uiPriority w:val="9"/>
    <w:unhideWhenUsed/>
    <w:qFormat/>
    <w:rsid w:val="007B445E"/>
    <w:pPr>
      <w:keepNext/>
      <w:keepLines/>
      <w:spacing w:before="40" w:line="276" w:lineRule="auto"/>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semiHidden/>
    <w:unhideWhenUsed/>
    <w:qFormat/>
    <w:rsid w:val="00D91D2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semiHidden/>
    <w:rsid w:val="00D35E47"/>
    <w:pPr>
      <w:spacing w:after="160" w:line="240" w:lineRule="exact"/>
    </w:pPr>
    <w:rPr>
      <w:rFonts w:ascii="Arial" w:hAnsi="Arial"/>
      <w:sz w:val="22"/>
      <w:szCs w:val="22"/>
    </w:rPr>
  </w:style>
  <w:style w:type="paragraph" w:customStyle="1" w:styleId="CharChar1">
    <w:name w:val="Char Char1"/>
    <w:basedOn w:val="Normal"/>
    <w:rsid w:val="009C610B"/>
    <w:pPr>
      <w:spacing w:after="160" w:line="240" w:lineRule="exact"/>
    </w:pPr>
    <w:rPr>
      <w:rFonts w:ascii="Verdana" w:hAnsi="Verdana"/>
      <w:sz w:val="20"/>
      <w:szCs w:val="20"/>
    </w:rPr>
  </w:style>
  <w:style w:type="character" w:customStyle="1" w:styleId="Heading3Char">
    <w:name w:val="Heading 3 Char"/>
    <w:basedOn w:val="DefaultParagraphFont"/>
    <w:link w:val="Heading3"/>
    <w:rsid w:val="00287AB2"/>
    <w:rPr>
      <w:rFonts w:ascii="VNtimpani" w:eastAsia="Times New Roman" w:hAnsi="VNtimpani" w:cs="Times New Roman"/>
      <w:b/>
      <w:sz w:val="20"/>
      <w:szCs w:val="20"/>
    </w:rPr>
  </w:style>
  <w:style w:type="character" w:customStyle="1" w:styleId="Heading5Char">
    <w:name w:val="Heading 5 Char"/>
    <w:basedOn w:val="DefaultParagraphFont"/>
    <w:link w:val="Heading5"/>
    <w:uiPriority w:val="9"/>
    <w:semiHidden/>
    <w:rsid w:val="00D91D2C"/>
    <w:rPr>
      <w:rFonts w:asciiTheme="majorHAnsi" w:eastAsiaTheme="majorEastAsia" w:hAnsiTheme="majorHAnsi" w:cstheme="majorBidi"/>
      <w:color w:val="2E74B5" w:themeColor="accent1" w:themeShade="BF"/>
      <w:sz w:val="24"/>
      <w:szCs w:val="24"/>
    </w:rPr>
  </w:style>
  <w:style w:type="paragraph" w:styleId="BodyText">
    <w:name w:val="Body Text"/>
    <w:aliases w:val="Drawings 8,Text Box,bt,ändrad,body text,BODY TEXT,t,Body Text -p1,Body Text Hn02,Body Text1,Char1 Char Char Char Char Char Char Char Char Char"/>
    <w:basedOn w:val="Normal"/>
    <w:link w:val="BodyTextChar"/>
    <w:rsid w:val="00594F5D"/>
    <w:pPr>
      <w:jc w:val="center"/>
    </w:pPr>
    <w:rPr>
      <w:rFonts w:ascii=".VnTime" w:hAnsi=".VnTime"/>
      <w:b/>
      <w:sz w:val="28"/>
      <w:szCs w:val="20"/>
    </w:rPr>
  </w:style>
  <w:style w:type="character" w:customStyle="1" w:styleId="BodyTextChar">
    <w:name w:val="Body Text Char"/>
    <w:aliases w:val="Drawings 8 Char,Text Box Char,bt Char,ändrad Char,body text Char,BODY TEXT Char,t Char,Body Text -p1 Char,Body Text Hn02 Char,Body Text1 Char,Char1 Char Char Char Char Char Char Char Char Char Char"/>
    <w:basedOn w:val="DefaultParagraphFont"/>
    <w:link w:val="BodyText"/>
    <w:rsid w:val="00594F5D"/>
    <w:rPr>
      <w:rFonts w:ascii=".VnTime" w:eastAsia="Times New Roman" w:hAnsi=".VnTime" w:cs="Times New Roman"/>
      <w:b/>
      <w:szCs w:val="20"/>
    </w:rPr>
  </w:style>
  <w:style w:type="paragraph" w:styleId="BodyTextIndent2">
    <w:name w:val="Body Text Indent 2"/>
    <w:basedOn w:val="Normal"/>
    <w:link w:val="BodyTextIndent2Char"/>
    <w:uiPriority w:val="99"/>
    <w:semiHidden/>
    <w:unhideWhenUsed/>
    <w:rsid w:val="00591EFC"/>
    <w:pPr>
      <w:spacing w:after="120" w:line="480" w:lineRule="auto"/>
      <w:ind w:left="360"/>
    </w:pPr>
  </w:style>
  <w:style w:type="character" w:customStyle="1" w:styleId="BodyTextIndent2Char">
    <w:name w:val="Body Text Indent 2 Char"/>
    <w:basedOn w:val="DefaultParagraphFont"/>
    <w:link w:val="BodyTextIndent2"/>
    <w:uiPriority w:val="99"/>
    <w:semiHidden/>
    <w:rsid w:val="00591EFC"/>
    <w:rPr>
      <w:rFonts w:eastAsia="Times New Roman" w:cs="Times New Roman"/>
      <w:sz w:val="24"/>
      <w:szCs w:val="24"/>
    </w:rPr>
  </w:style>
  <w:style w:type="paragraph" w:styleId="NormalWeb">
    <w:name w:val="Normal (Web)"/>
    <w:basedOn w:val="Normal"/>
    <w:rsid w:val="00591EFC"/>
    <w:pPr>
      <w:spacing w:before="100" w:beforeAutospacing="1" w:after="100" w:afterAutospacing="1"/>
    </w:pPr>
  </w:style>
  <w:style w:type="paragraph" w:styleId="BalloonText">
    <w:name w:val="Balloon Text"/>
    <w:basedOn w:val="Normal"/>
    <w:link w:val="BalloonTextChar"/>
    <w:uiPriority w:val="99"/>
    <w:semiHidden/>
    <w:unhideWhenUsed/>
    <w:rsid w:val="001409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99A"/>
    <w:rPr>
      <w:rFonts w:ascii="Segoe UI" w:eastAsia="Times New Roman" w:hAnsi="Segoe UI" w:cs="Segoe UI"/>
      <w:sz w:val="18"/>
      <w:szCs w:val="18"/>
    </w:rPr>
  </w:style>
  <w:style w:type="paragraph" w:styleId="ListParagraph">
    <w:name w:val="List Paragraph"/>
    <w:basedOn w:val="Normal"/>
    <w:uiPriority w:val="34"/>
    <w:qFormat/>
    <w:rsid w:val="003326A9"/>
    <w:pPr>
      <w:ind w:left="720"/>
      <w:contextualSpacing/>
    </w:pPr>
  </w:style>
  <w:style w:type="paragraph" w:customStyle="1" w:styleId="CharChar">
    <w:name w:val="Char Char"/>
    <w:basedOn w:val="Normal"/>
    <w:rsid w:val="00A92C08"/>
    <w:pPr>
      <w:pageBreakBefore/>
      <w:spacing w:before="100" w:beforeAutospacing="1" w:after="100" w:afterAutospacing="1"/>
      <w:jc w:val="both"/>
    </w:pPr>
    <w:rPr>
      <w:rFonts w:ascii="Tahoma" w:hAnsi="Tahoma"/>
      <w:sz w:val="20"/>
      <w:szCs w:val="20"/>
    </w:rPr>
  </w:style>
  <w:style w:type="paragraph" w:customStyle="1" w:styleId="CharCharCharCharCharCharChar">
    <w:name w:val="Char Char Char Char Char Char Char"/>
    <w:basedOn w:val="Normal"/>
    <w:rsid w:val="00122559"/>
    <w:pPr>
      <w:spacing w:after="160" w:line="240" w:lineRule="exact"/>
    </w:pPr>
    <w:rPr>
      <w:rFonts w:ascii="Verdana" w:hAnsi="Verdana"/>
      <w:sz w:val="20"/>
      <w:szCs w:val="20"/>
    </w:rPr>
  </w:style>
  <w:style w:type="character" w:customStyle="1" w:styleId="Heading4Char">
    <w:name w:val="Heading 4 Char"/>
    <w:basedOn w:val="DefaultParagraphFont"/>
    <w:link w:val="Heading4"/>
    <w:uiPriority w:val="9"/>
    <w:rsid w:val="007B445E"/>
    <w:rPr>
      <w:rFonts w:asciiTheme="majorHAnsi" w:eastAsiaTheme="majorEastAsia" w:hAnsiTheme="majorHAnsi" w:cstheme="majorBidi"/>
      <w:i/>
      <w:iCs/>
      <w:color w:val="2E74B5"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0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MEGA-COMPUTER</cp:lastModifiedBy>
  <cp:revision>41</cp:revision>
  <cp:lastPrinted>2021-12-10T09:42:00Z</cp:lastPrinted>
  <dcterms:created xsi:type="dcterms:W3CDTF">2021-12-11T04:20:00Z</dcterms:created>
  <dcterms:modified xsi:type="dcterms:W3CDTF">2021-12-11T23:49:00Z</dcterms:modified>
</cp:coreProperties>
</file>